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276" w:lineRule="auto"/>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开平市水口镇金山东大道以北地块控制性详细规划(方案)</w:t>
      </w:r>
    </w:p>
    <w:p>
      <w:pPr>
        <w:pStyle w:val="2"/>
        <w:shd w:val="clear" w:color="auto" w:fill="FFFFFF"/>
        <w:spacing w:before="0" w:beforeAutospacing="0" w:after="0" w:afterAutospacing="0" w:line="276" w:lineRule="auto"/>
        <w:jc w:val="center"/>
        <w:rPr>
          <w:rFonts w:ascii="微软雅黑" w:hAnsi="微软雅黑" w:eastAsia="微软雅黑"/>
          <w:sz w:val="44"/>
          <w:szCs w:val="44"/>
        </w:rPr>
      </w:pPr>
      <w:r>
        <w:rPr>
          <w:rFonts w:hint="eastAsia" w:ascii="宋体" w:hAnsi="宋体" w:eastAsia="宋体" w:cs="宋体"/>
          <w:b/>
          <w:bCs/>
          <w:kern w:val="2"/>
          <w:sz w:val="30"/>
          <w:szCs w:val="30"/>
          <w:lang w:val="en-US" w:eastAsia="zh-CN" w:bidi="ar-SA"/>
        </w:rPr>
        <w:t>公示简介</w:t>
      </w:r>
    </w:p>
    <w:p>
      <w:pPr>
        <w:pStyle w:val="2"/>
        <w:shd w:val="clear" w:color="auto" w:fill="FFFFFF"/>
        <w:spacing w:before="0" w:beforeAutospacing="0" w:after="0" w:afterAutospacing="0" w:line="276" w:lineRule="auto"/>
        <w:rPr>
          <w:rFonts w:hint="eastAsia" w:ascii="Calibri" w:hAnsi="Calibri" w:eastAsia="宋体" w:cs="宋体"/>
          <w:b/>
          <w:bCs/>
          <w:kern w:val="2"/>
          <w:sz w:val="28"/>
          <w:szCs w:val="28"/>
          <w:lang w:val="en-US" w:eastAsia="zh-CN" w:bidi="ar-SA"/>
        </w:rPr>
      </w:pPr>
      <w:r>
        <w:rPr>
          <w:rFonts w:hint="eastAsia" w:ascii="Calibri" w:hAnsi="Calibri" w:eastAsia="宋体" w:cs="宋体"/>
          <w:b/>
          <w:bCs/>
          <w:kern w:val="2"/>
          <w:sz w:val="28"/>
          <w:szCs w:val="28"/>
          <w:lang w:val="en-US" w:eastAsia="zh-CN" w:bidi="ar-SA"/>
        </w:rPr>
        <w:t>一、规划范围</w:t>
      </w:r>
    </w:p>
    <w:p>
      <w:pPr>
        <w:pStyle w:val="2"/>
        <w:shd w:val="clear" w:color="auto" w:fill="FFFFFF"/>
        <w:spacing w:before="0" w:beforeAutospacing="0" w:after="0" w:afterAutospacing="0" w:line="276" w:lineRule="auto"/>
        <w:ind w:firstLine="480" w:firstLineChars="200"/>
        <w:rPr>
          <w:rFonts w:hint="eastAsia" w:ascii="Calibri" w:hAnsi="Calibri" w:eastAsia="宋体" w:cs="宋体"/>
          <w:b/>
          <w:bCs/>
          <w:kern w:val="2"/>
          <w:sz w:val="28"/>
          <w:szCs w:val="28"/>
          <w:lang w:val="en-US" w:eastAsia="zh-CN" w:bidi="ar-SA"/>
        </w:rPr>
      </w:pPr>
      <w:r>
        <w:rPr>
          <w:rFonts w:hint="eastAsia" w:ascii="宋体" w:hAnsi="宋体" w:eastAsia="宋体" w:cs="宋体"/>
          <w:kern w:val="2"/>
          <w:sz w:val="24"/>
          <w:szCs w:val="24"/>
          <w:lang w:val="en-US" w:eastAsia="zh-CN" w:bidi="ar-SA"/>
        </w:rPr>
        <w:t>规划区位于开平市水口镇镇区西侧，开平市快速干线北线东延线（金山东大道）以北，沈海高速连接线两侧，南邻开平市快速干线北线东延线（金山东大道），西邻旱坑山、行坑蓢水库，北以石灰山、莦箕山等山林为界，东至新桥水支流、榄冲村，总用地面积为224.48公顷。</w:t>
      </w:r>
    </w:p>
    <w:p>
      <w:pPr>
        <w:pStyle w:val="2"/>
        <w:shd w:val="clear" w:color="auto" w:fill="FFFFFF"/>
        <w:spacing w:before="0" w:beforeAutospacing="0" w:after="0" w:afterAutospacing="0" w:line="276" w:lineRule="auto"/>
        <w:rPr>
          <w:rFonts w:hint="eastAsia" w:ascii="Calibri" w:hAnsi="Calibri" w:eastAsia="宋体" w:cs="宋体"/>
          <w:b/>
          <w:bCs/>
          <w:kern w:val="2"/>
          <w:sz w:val="28"/>
          <w:szCs w:val="28"/>
          <w:lang w:val="en-US" w:eastAsia="zh-CN" w:bidi="ar-SA"/>
        </w:rPr>
      </w:pPr>
      <w:r>
        <w:rPr>
          <w:rFonts w:hint="eastAsia" w:ascii="Calibri" w:hAnsi="Calibri" w:eastAsia="宋体" w:cs="宋体"/>
          <w:b/>
          <w:bCs/>
          <w:kern w:val="2"/>
          <w:sz w:val="28"/>
          <w:szCs w:val="28"/>
          <w:lang w:val="en-US" w:eastAsia="zh-CN" w:bidi="ar-SA"/>
        </w:rPr>
        <w:t>二、功能定位</w:t>
      </w:r>
    </w:p>
    <w:p>
      <w:pPr>
        <w:pStyle w:val="2"/>
        <w:shd w:val="clear" w:color="auto" w:fill="FFFFFF"/>
        <w:spacing w:before="0" w:beforeAutospacing="0" w:after="0" w:afterAutospacing="0" w:line="276" w:lineRule="auto"/>
        <w:ind w:firstLine="480" w:firstLineChars="200"/>
        <w:rPr>
          <w:rFonts w:hint="eastAsia" w:ascii="Calibri" w:hAnsi="Calibri" w:eastAsia="宋体" w:cs="宋体"/>
          <w:b/>
          <w:bCs/>
          <w:kern w:val="2"/>
          <w:sz w:val="28"/>
          <w:szCs w:val="28"/>
          <w:lang w:val="en-US" w:eastAsia="zh-CN" w:bidi="ar-SA"/>
        </w:rPr>
      </w:pPr>
      <w:r>
        <w:rPr>
          <w:rFonts w:hint="eastAsia" w:ascii="宋体" w:hAnsi="宋体" w:eastAsia="宋体" w:cs="宋体"/>
          <w:kern w:val="2"/>
          <w:sz w:val="24"/>
          <w:szCs w:val="24"/>
          <w:lang w:val="en-US" w:eastAsia="zh-CN" w:bidi="ar-SA"/>
        </w:rPr>
        <w:t>根据上层次规划要求与相关规划的衔接，结合当地需求，综合考虑规划区的区域位置和现状条件，确定功能定位为:智能制造、生产加工、综合配套一体化发展的现代高新技术产业园区。</w:t>
      </w:r>
    </w:p>
    <w:p>
      <w:pPr>
        <w:pStyle w:val="2"/>
        <w:shd w:val="clear" w:color="auto" w:fill="FFFFFF"/>
        <w:spacing w:before="0" w:beforeAutospacing="0" w:after="0" w:afterAutospacing="0" w:line="276" w:lineRule="auto"/>
        <w:rPr>
          <w:rFonts w:hint="eastAsia" w:ascii="Calibri" w:hAnsi="Calibri" w:eastAsia="宋体" w:cs="宋体"/>
          <w:b/>
          <w:bCs/>
          <w:kern w:val="2"/>
          <w:sz w:val="28"/>
          <w:szCs w:val="28"/>
          <w:lang w:val="en-US" w:eastAsia="zh-CN" w:bidi="ar-SA"/>
        </w:rPr>
      </w:pPr>
      <w:r>
        <w:rPr>
          <w:rFonts w:hint="eastAsia" w:ascii="Calibri" w:hAnsi="Calibri" w:eastAsia="宋体" w:cs="宋体"/>
          <w:b/>
          <w:bCs/>
          <w:kern w:val="2"/>
          <w:sz w:val="28"/>
          <w:szCs w:val="28"/>
          <w:lang w:val="en-US" w:eastAsia="zh-CN" w:bidi="ar-SA"/>
        </w:rPr>
        <w:t>三、规划方案</w:t>
      </w:r>
    </w:p>
    <w:p>
      <w:pPr>
        <w:pStyle w:val="2"/>
        <w:shd w:val="clear" w:color="auto" w:fill="FFFFFF"/>
        <w:spacing w:before="0" w:beforeAutospacing="0" w:after="0" w:afterAutospacing="0" w:line="276" w:lineRule="auto"/>
        <w:ind w:firstLine="562" w:firstLineChars="200"/>
        <w:rPr>
          <w:rFonts w:hint="eastAsia" w:ascii="Calibri" w:hAnsi="Calibri" w:eastAsia="宋体" w:cs="宋体"/>
          <w:b/>
          <w:bCs/>
          <w:kern w:val="2"/>
          <w:sz w:val="28"/>
          <w:szCs w:val="28"/>
          <w:lang w:val="en-US" w:eastAsia="zh-CN" w:bidi="ar-SA"/>
        </w:rPr>
      </w:pPr>
      <w:r>
        <w:rPr>
          <w:rFonts w:hint="eastAsia" w:ascii="Calibri" w:hAnsi="Calibri" w:eastAsia="宋体" w:cs="宋体"/>
          <w:b/>
          <w:bCs/>
          <w:kern w:val="2"/>
          <w:sz w:val="28"/>
          <w:szCs w:val="28"/>
          <w:lang w:val="en-US" w:eastAsia="zh-CN" w:bidi="ar-SA"/>
        </w:rPr>
        <w:t>1、用地布局及规划 </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(1)公共管理与公共服务设施用地（A）</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(2)商业服务业设施用地（B）</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(3)工业用地（M）</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(4)道路与交通设施用地（S）</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(5)公用设施用地（U）</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(6)绿地与广场用地（G）</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(7)公路用地（H22）</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(8)非建设用地</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(9)弹性发展区: 对于不符合《开平市土地利用总体规划（2010-2020）》的建设用地，本次规划将其划为弹性发展区，需落实相关建设用地指标后方可建设实施。</w:t>
      </w:r>
    </w:p>
    <w:p>
      <w:pPr>
        <w:pStyle w:val="2"/>
        <w:shd w:val="clear" w:color="auto" w:fill="FFFFFF"/>
        <w:spacing w:before="0" w:beforeAutospacing="0" w:after="0" w:afterAutospacing="0" w:line="276" w:lineRule="auto"/>
        <w:ind w:firstLine="562" w:firstLineChars="200"/>
        <w:rPr>
          <w:rFonts w:hint="eastAsia" w:ascii="Calibri" w:hAnsi="Calibri" w:eastAsia="宋体" w:cs="宋体"/>
          <w:b/>
          <w:bCs/>
          <w:kern w:val="2"/>
          <w:sz w:val="28"/>
          <w:szCs w:val="28"/>
          <w:lang w:val="en-US" w:eastAsia="zh-CN" w:bidi="ar-SA"/>
        </w:rPr>
      </w:pPr>
      <w:r>
        <w:rPr>
          <w:rFonts w:hint="eastAsia" w:ascii="Calibri" w:hAnsi="Calibri" w:eastAsia="宋体" w:cs="宋体"/>
          <w:b/>
          <w:bCs/>
          <w:kern w:val="2"/>
          <w:sz w:val="28"/>
          <w:szCs w:val="28"/>
          <w:lang w:val="en-US" w:eastAsia="zh-CN" w:bidi="ar-SA"/>
        </w:rPr>
        <w:t>2、公共服务设施规划</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(1)公共管理与公共服务设施:规划区内的公共管理与公共服务设施用地主要为教育科研用地和体育用地。教育科研用地主要位于规划区东部，规划横三路以北；体育设施主要为规划区中部，规划纵四路西侧。</w:t>
      </w:r>
    </w:p>
    <w:p>
      <w:pPr>
        <w:pStyle w:val="2"/>
        <w:shd w:val="clear" w:color="auto" w:fill="FFFFFF"/>
        <w:spacing w:before="0" w:beforeAutospacing="0" w:after="0" w:afterAutospacing="0" w:line="276"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(2)商业服务业设施:规划区内的商业服务业设施用地为商业用地和其他服务设施用地，商业用地位于规划区西北侧；其他服务设施用地位于规划区东部，规划纵三路以东。</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(3)居住区级设施:其他居住区级服务设施主要结合公园绿地等布置，包括文化活动站、室外综合健身场所、公共厕所等。</w:t>
      </w:r>
    </w:p>
    <w:p>
      <w:pPr>
        <w:pStyle w:val="2"/>
        <w:shd w:val="clear" w:color="auto" w:fill="FFFFFF"/>
        <w:spacing w:before="0" w:beforeAutospacing="0" w:after="0" w:afterAutospacing="0" w:line="276" w:lineRule="auto"/>
        <w:ind w:firstLine="480" w:firstLineChars="200"/>
        <w:rPr>
          <w:rFonts w:hint="eastAsia" w:ascii="Calibri" w:hAnsi="Calibri" w:eastAsia="宋体" w:cs="宋体"/>
          <w:b/>
          <w:bCs/>
          <w:kern w:val="2"/>
          <w:sz w:val="28"/>
          <w:szCs w:val="28"/>
          <w:lang w:val="en-US" w:eastAsia="zh-CN" w:bidi="ar-SA"/>
        </w:rPr>
      </w:pPr>
      <w:r>
        <w:rPr>
          <w:rFonts w:hint="eastAsia" w:ascii="宋体" w:hAnsi="宋体" w:eastAsia="宋体" w:cs="宋体"/>
          <w:kern w:val="2"/>
          <w:sz w:val="24"/>
          <w:szCs w:val="24"/>
          <w:lang w:val="en-US" w:eastAsia="zh-CN" w:bidi="ar-SA"/>
        </w:rPr>
        <w:t>(4)其他设施:规划区位于水口镇镇区西侧，紧邻水口镇镇区中心，部分公服设施覆盖半径包含本规划区，规划区应充分与镇区联动，实现资源和公共服务设施的共享。</w:t>
      </w:r>
    </w:p>
    <w:p>
      <w:pPr>
        <w:pStyle w:val="2"/>
        <w:shd w:val="clear" w:color="auto" w:fill="FFFFFF"/>
        <w:spacing w:before="0" w:beforeAutospacing="0" w:after="0" w:afterAutospacing="0" w:line="276" w:lineRule="auto"/>
        <w:ind w:firstLine="562" w:firstLineChars="200"/>
        <w:rPr>
          <w:rFonts w:hint="eastAsia" w:ascii="Calibri" w:hAnsi="Calibri" w:eastAsia="宋体" w:cs="宋体"/>
          <w:b/>
          <w:bCs/>
          <w:kern w:val="2"/>
          <w:sz w:val="28"/>
          <w:szCs w:val="28"/>
          <w:lang w:val="en-US" w:eastAsia="zh-CN" w:bidi="ar-SA"/>
        </w:rPr>
      </w:pPr>
      <w:r>
        <w:rPr>
          <w:rFonts w:hint="eastAsia" w:ascii="Calibri" w:hAnsi="Calibri" w:eastAsia="宋体" w:cs="宋体"/>
          <w:b/>
          <w:bCs/>
          <w:kern w:val="2"/>
          <w:sz w:val="28"/>
          <w:szCs w:val="28"/>
          <w:lang w:val="en-US" w:eastAsia="zh-CN" w:bidi="ar-SA"/>
        </w:rPr>
        <w:t>3、道路交通系统规划</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本次规划道路交通系统分三个等级设置：主干路—次干路—支路。</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主干路：沈海高速连接线、开平市快速干线北线东延线（金山东大道）；次干路：规划纵一路、规划纵三路、规划横二路、规划横四路；支路：规划横三路、规划纵二路、规划纵四路、规划纵五路（弹性道路）。</w:t>
      </w:r>
    </w:p>
    <w:p>
      <w:pPr>
        <w:pStyle w:val="2"/>
        <w:shd w:val="clear" w:color="auto" w:fill="FFFFFF"/>
        <w:spacing w:before="0" w:beforeAutospacing="0" w:after="0" w:afterAutospacing="0" w:line="276" w:lineRule="auto"/>
        <w:ind w:firstLine="562" w:firstLineChars="200"/>
        <w:rPr>
          <w:rFonts w:hint="eastAsia" w:ascii="Calibri" w:hAnsi="Calibri" w:eastAsia="宋体" w:cs="宋体"/>
          <w:b/>
          <w:bCs/>
          <w:kern w:val="2"/>
          <w:sz w:val="28"/>
          <w:szCs w:val="28"/>
          <w:lang w:val="en-US" w:eastAsia="zh-CN" w:bidi="ar-SA"/>
        </w:rPr>
      </w:pPr>
      <w:r>
        <w:rPr>
          <w:rFonts w:hint="eastAsia" w:ascii="Calibri" w:hAnsi="Calibri" w:eastAsia="宋体" w:cs="宋体"/>
          <w:b/>
          <w:bCs/>
          <w:kern w:val="2"/>
          <w:sz w:val="28"/>
          <w:szCs w:val="28"/>
          <w:lang w:val="en-US" w:eastAsia="zh-CN" w:bidi="ar-SA"/>
        </w:rPr>
        <w:t>4、绿地系统规划</w:t>
      </w:r>
    </w:p>
    <w:p>
      <w:pPr>
        <w:pStyle w:val="2"/>
        <w:shd w:val="clear" w:color="auto" w:fill="FFFFFF"/>
        <w:spacing w:before="0" w:beforeAutospacing="0" w:after="0" w:afterAutospacing="0" w:line="276"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规划绿地主要为公园绿地、防护绿地和广场用地，公园绿地主要位于规划区中部；防护绿地主要为规划区水系的防护绿地；广场用地位于规划区的北部。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2488D"/>
    <w:rsid w:val="12C2488D"/>
    <w:rsid w:val="16B56DE6"/>
    <w:rsid w:val="62E606BA"/>
    <w:rsid w:val="65E45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2021-04-07T08:16:00Z</dcterms:created>
  <dc:creator>伍林晓</dc:creator>
  <cp:lastModifiedBy>溢天使不孤单</cp:lastModifiedBy>
  <cp:lastPrinted>2021-04-07T08:46:00Z</cp:lastPrinted>
  <dcterms:modified xsi:type="dcterms:W3CDTF">2021-04-27T08:20:02Z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96A03B6F4AA246D0B0643AA242FA9549</vt:lpwstr>
  </property>
</Properties>
</file>