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10423" w:type="dxa"/>
        <w:tblInd w:w="0" w:type="dxa"/>
        <w:tblLayout w:type="fixed"/>
        <w:tblCellMar>
          <w:top w:w="15" w:type="dxa"/>
          <w:left w:w="15" w:type="dxa"/>
          <w:bottom w:w="15" w:type="dxa"/>
          <w:right w:w="15" w:type="dxa"/>
        </w:tblCellMar>
      </w:tblPr>
      <w:tblGrid>
        <w:gridCol w:w="10423"/>
      </w:tblGrid>
      <w:tr>
        <w:tblPrEx>
          <w:tblCellMar>
            <w:top w:w="15" w:type="dxa"/>
            <w:left w:w="15" w:type="dxa"/>
            <w:bottom w:w="15" w:type="dxa"/>
            <w:right w:w="15" w:type="dxa"/>
          </w:tblCellMar>
        </w:tblPrEx>
        <w:trPr>
          <w:trHeight w:val="420" w:hRule="atLeast"/>
        </w:trPr>
        <w:tc>
          <w:tcPr>
            <w:tcW w:w="10423" w:type="dxa"/>
            <w:shd w:val="clear" w:color="auto" w:fill="auto"/>
            <w:vAlign w:val="center"/>
          </w:tcPr>
          <w:p>
            <w:pPr>
              <w:widowControl/>
              <w:jc w:val="center"/>
              <w:textAlignment w:val="center"/>
              <w:rPr>
                <w:rFonts w:ascii="宋体" w:hAnsi="宋体" w:eastAsia="宋体" w:cs="宋体"/>
                <w:b/>
                <w:color w:val="000000"/>
                <w:kern w:val="0"/>
                <w:sz w:val="24"/>
                <w:lang w:bidi="ar"/>
              </w:rPr>
            </w:pPr>
            <w:r>
              <w:rPr>
                <w:rFonts w:hint="eastAsia" w:ascii="宋体" w:hAnsi="宋体" w:eastAsia="宋体" w:cs="宋体"/>
                <w:b/>
                <w:color w:val="000000"/>
                <w:kern w:val="0"/>
                <w:sz w:val="40"/>
                <w:szCs w:val="40"/>
                <w:lang w:bidi="ar"/>
              </w:rPr>
              <w:t>广东法律服务网服务事项指南</w:t>
            </w:r>
          </w:p>
        </w:tc>
      </w:tr>
    </w:tbl>
    <w:p>
      <w:pPr>
        <w:jc w:val="right"/>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开平市公共法律服务中心</w:t>
      </w:r>
      <w:r>
        <w:rPr>
          <w:rFonts w:ascii="宋体" w:hAnsi="宋体" w:eastAsia="宋体" w:cs="宋体"/>
          <w:color w:val="000000"/>
          <w:sz w:val="20"/>
          <w:szCs w:val="20"/>
        </w:rPr>
        <w:t xml:space="preserve">                     </w:t>
      </w:r>
    </w:p>
    <w:tbl>
      <w:tblPr>
        <w:tblStyle w:val="5"/>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广东法律服务网实体平台信息查询</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根据群众需求，为群众提供广东省内公共法律服务中心（站）信息查询服务</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bookmarkStart w:id="0" w:name="_GoBack"/>
            <w:r>
              <w:rPr>
                <w:rFonts w:hint="eastAsia" w:ascii="宋体" w:hAnsi="宋体" w:eastAsia="宋体" w:cs="宋体"/>
                <w:color w:val="000000"/>
                <w:kern w:val="0"/>
                <w:sz w:val="28"/>
                <w:szCs w:val="28"/>
                <w:lang w:bidi="ar"/>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bookmarkEnd w:id="0"/>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360" w:firstLineChars="150"/>
              <w:rPr>
                <w:rFonts w:ascii="宋体" w:hAnsi="宋体" w:eastAsia="宋体" w:cs="宋体"/>
                <w:color w:val="000000"/>
                <w:sz w:val="28"/>
                <w:szCs w:val="28"/>
              </w:rPr>
            </w:pPr>
            <w:r>
              <w:rPr>
                <w:rFonts w:ascii="宋体" w:hAnsi="宋体" w:eastAsia="宋体" w:cs="宋体"/>
                <w:color w:val="000000"/>
                <w:sz w:val="24"/>
              </w:rPr>
              <w:t>前往</w:t>
            </w:r>
            <w:r>
              <w:rPr>
                <w:rFonts w:hint="eastAsia" w:ascii="宋体" w:hAnsi="宋体" w:eastAsia="宋体" w:cs="宋体"/>
                <w:color w:val="000000"/>
                <w:sz w:val="24"/>
              </w:rPr>
              <w:t>开平市</w:t>
            </w:r>
            <w:r>
              <w:rPr>
                <w:rFonts w:hint="eastAsia" w:ascii="宋体" w:hAnsi="宋体" w:eastAsia="宋体" w:cs="宋体"/>
                <w:color w:val="000000"/>
                <w:sz w:val="24"/>
                <w:lang w:eastAsia="zh-CN"/>
              </w:rPr>
              <w:t>沙塘</w:t>
            </w:r>
            <w:r>
              <w:rPr>
                <w:rFonts w:hint="eastAsia" w:ascii="宋体" w:hAnsi="宋体" w:eastAsia="宋体" w:cs="宋体"/>
                <w:color w:val="000000"/>
                <w:sz w:val="24"/>
              </w:rPr>
              <w:t>镇</w:t>
            </w:r>
            <w:r>
              <w:rPr>
                <w:rFonts w:hint="eastAsia" w:ascii="宋体" w:hAnsi="宋体" w:eastAsia="宋体" w:cs="宋体"/>
                <w:color w:val="000000"/>
                <w:sz w:val="24"/>
                <w:lang w:eastAsia="zh-CN"/>
              </w:rPr>
              <w:t>锦星</w:t>
            </w:r>
            <w:r>
              <w:rPr>
                <w:rFonts w:hint="eastAsia" w:ascii="宋体" w:hAnsi="宋体" w:eastAsia="宋体" w:cs="宋体"/>
                <w:color w:val="000000"/>
                <w:sz w:val="24"/>
              </w:rPr>
              <w:t>村公共法律服务工作室</w:t>
            </w:r>
            <w:r>
              <w:rPr>
                <w:rFonts w:ascii="宋体" w:hAnsi="宋体" w:eastAsia="宋体" w:cs="宋体"/>
                <w:color w:val="000000"/>
                <w:sz w:val="24"/>
              </w:rPr>
              <w:t>查询广东法律服务网实体平台信息的群众</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8"/>
                <w:szCs w:val="28"/>
              </w:rPr>
            </w:pPr>
            <w:r>
              <w:rPr>
                <w:rFonts w:hint="eastAsia" w:ascii="宋体" w:hAnsi="宋体" w:eastAsia="宋体" w:cs="宋体"/>
                <w:color w:val="000000"/>
                <w:sz w:val="24"/>
              </w:rPr>
              <w:t>开平市</w:t>
            </w:r>
            <w:r>
              <w:rPr>
                <w:rFonts w:hint="eastAsia" w:ascii="宋体" w:hAnsi="宋体" w:eastAsia="宋体" w:cs="宋体"/>
                <w:color w:val="000000"/>
                <w:sz w:val="24"/>
                <w:lang w:eastAsia="zh-CN"/>
              </w:rPr>
              <w:t>沙塘</w:t>
            </w:r>
            <w:r>
              <w:rPr>
                <w:rFonts w:hint="eastAsia" w:ascii="宋体" w:hAnsi="宋体" w:eastAsia="宋体" w:cs="宋体"/>
                <w:color w:val="000000"/>
                <w:sz w:val="24"/>
              </w:rPr>
              <w:t>镇</w:t>
            </w:r>
            <w:r>
              <w:rPr>
                <w:rFonts w:hint="eastAsia" w:ascii="宋体" w:hAnsi="宋体" w:eastAsia="宋体" w:cs="宋体"/>
                <w:color w:val="000000"/>
                <w:sz w:val="24"/>
                <w:lang w:eastAsia="zh-CN"/>
              </w:rPr>
              <w:t>锦星</w:t>
            </w:r>
            <w:r>
              <w:rPr>
                <w:rFonts w:hint="eastAsia" w:ascii="宋体" w:hAnsi="宋体" w:eastAsia="宋体" w:cs="宋体"/>
                <w:color w:val="000000"/>
                <w:sz w:val="24"/>
              </w:rPr>
              <w:t>村公共法律服务工作室</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r>
              <w:rPr>
                <w:rFonts w:hint="eastAsia" w:ascii="宋体" w:hAnsi="宋体" w:eastAsia="宋体" w:cs="宋体"/>
                <w:color w:val="000000"/>
                <w:sz w:val="24"/>
              </w:rPr>
              <w:t>开平市</w:t>
            </w:r>
            <w:r>
              <w:rPr>
                <w:rFonts w:hint="eastAsia" w:ascii="宋体" w:hAnsi="宋体" w:eastAsia="宋体" w:cs="宋体"/>
                <w:color w:val="000000"/>
                <w:sz w:val="24"/>
                <w:lang w:eastAsia="zh-CN"/>
              </w:rPr>
              <w:t>沙塘</w:t>
            </w:r>
            <w:r>
              <w:rPr>
                <w:rFonts w:hint="eastAsia" w:ascii="宋体" w:hAnsi="宋体" w:eastAsia="宋体" w:cs="宋体"/>
                <w:color w:val="000000"/>
                <w:sz w:val="24"/>
              </w:rPr>
              <w:t>镇</w:t>
            </w:r>
            <w:r>
              <w:rPr>
                <w:rFonts w:hint="eastAsia" w:ascii="宋体" w:hAnsi="宋体" w:eastAsia="宋体" w:cs="宋体"/>
                <w:color w:val="000000"/>
                <w:sz w:val="24"/>
                <w:lang w:eastAsia="zh-CN"/>
              </w:rPr>
              <w:t>锦星</w:t>
            </w:r>
            <w:r>
              <w:rPr>
                <w:rFonts w:hint="eastAsia" w:ascii="宋体" w:hAnsi="宋体" w:eastAsia="宋体" w:cs="宋体"/>
                <w:color w:val="000000"/>
                <w:sz w:val="24"/>
              </w:rPr>
              <w:t>村</w:t>
            </w:r>
            <w:r>
              <w:rPr>
                <w:rFonts w:hint="eastAsia" w:ascii="宋体" w:hAnsi="宋体" w:eastAsia="宋体" w:cs="宋体"/>
                <w:color w:val="000000"/>
                <w:sz w:val="24"/>
                <w:lang w:eastAsia="zh-CN"/>
              </w:rPr>
              <w:t>民委员会</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360" w:firstLineChars="150"/>
              <w:jc w:val="center"/>
              <w:rPr>
                <w:rFonts w:ascii="宋体" w:hAnsi="宋体" w:eastAsia="宋体" w:cs="宋体"/>
                <w:color w:val="000000"/>
                <w:sz w:val="28"/>
                <w:szCs w:val="28"/>
              </w:rPr>
            </w:pPr>
            <w:r>
              <w:rPr>
                <w:rFonts w:hint="eastAsia" w:ascii="宋体" w:hAnsi="宋体" w:eastAsia="宋体" w:cs="宋体"/>
                <w:color w:val="000000"/>
                <w:sz w:val="24"/>
              </w:rPr>
              <w:t>不定期排班，详见排班公告</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无</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现场办结</w:t>
            </w:r>
          </w:p>
        </w:tc>
      </w:tr>
      <w:tr>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r>
              <w:rPr>
                <w:rFonts w:ascii="宋体" w:hAnsi="宋体" w:eastAsia="宋体" w:cs="宋体"/>
                <w:color w:val="000000"/>
                <w:sz w:val="24"/>
              </w:rPr>
              <w:t>一、所查信息为广东省内广东法律服务网实体平台信息</w:t>
            </w:r>
          </w:p>
          <w:p>
            <w:pPr>
              <w:jc w:val="left"/>
              <w:rPr>
                <w:rFonts w:ascii="宋体" w:hAnsi="宋体" w:eastAsia="宋体" w:cs="宋体"/>
                <w:color w:val="000000"/>
                <w:sz w:val="24"/>
              </w:rPr>
            </w:pPr>
            <w:r>
              <w:rPr>
                <w:rFonts w:ascii="宋体" w:hAnsi="宋体" w:eastAsia="宋体" w:cs="宋体"/>
                <w:color w:val="000000"/>
                <w:sz w:val="24"/>
              </w:rPr>
              <w:t>二、申请查询广东法律服务网实体平台信息的群众需提供以下要素之一以供查询：</w:t>
            </w:r>
          </w:p>
          <w:p>
            <w:pPr>
              <w:jc w:val="left"/>
              <w:rPr>
                <w:rFonts w:ascii="宋体" w:hAnsi="宋体" w:eastAsia="宋体" w:cs="宋体"/>
                <w:color w:val="000000"/>
                <w:sz w:val="24"/>
              </w:rPr>
            </w:pPr>
            <w:r>
              <w:rPr>
                <w:rFonts w:ascii="宋体" w:hAnsi="宋体" w:eastAsia="宋体" w:cs="宋体"/>
                <w:color w:val="000000"/>
                <w:sz w:val="24"/>
              </w:rPr>
              <w:t>1.广东法律服务网实体平台（公共法律服务中心/站）名称；</w:t>
            </w:r>
          </w:p>
          <w:p>
            <w:pPr>
              <w:jc w:val="left"/>
              <w:rPr>
                <w:rFonts w:ascii="宋体" w:hAnsi="宋体" w:eastAsia="宋体" w:cs="宋体"/>
                <w:color w:val="000000"/>
                <w:sz w:val="24"/>
              </w:rPr>
            </w:pPr>
            <w:r>
              <w:rPr>
                <w:rFonts w:ascii="宋体" w:hAnsi="宋体" w:eastAsia="宋体" w:cs="宋体"/>
                <w:color w:val="000000"/>
                <w:sz w:val="24"/>
              </w:rPr>
              <w:t>2.所在区域（省内）。</w:t>
            </w: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lang w:bidi="ar"/>
              </w:rPr>
              <w:t>是否必须</w:t>
            </w:r>
            <w:r>
              <w:rPr>
                <w:rFonts w:hint="eastAsia" w:ascii="宋体" w:hAnsi="宋体" w:eastAsia="宋体" w:cs="宋体"/>
                <w:b/>
                <w:color w:val="000000"/>
                <w:kern w:val="0"/>
                <w:sz w:val="24"/>
                <w:lang w:bidi="ar"/>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⽰范⽂本</w:t>
            </w: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C00000"/>
                <w:sz w:val="22"/>
                <w:szCs w:val="22"/>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tabs>
                <w:tab w:val="left" w:pos="441"/>
              </w:tabs>
              <w:jc w:val="left"/>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Cs/>
                <w:color w:val="000000"/>
                <w:kern w:val="0"/>
                <w:sz w:val="24"/>
                <w:lang w:bidi="ar"/>
              </w:rPr>
            </w:pPr>
            <w:r>
              <w:rPr>
                <w:rFonts w:ascii="宋体" w:hAnsi="宋体" w:eastAsia="宋体" w:cs="宋体"/>
                <w:bCs/>
                <w:color w:val="000000"/>
                <w:kern w:val="0"/>
                <w:sz w:val="24"/>
                <w:lang w:bidi="ar"/>
              </w:rPr>
              <w:t xml:space="preserve">□邮寄接收   </w:t>
            </w: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窗口接收</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 xml:space="preserve">口头答复  </w:t>
            </w:r>
            <w:r>
              <w:rPr>
                <w:rFonts w:ascii="宋体" w:hAnsi="宋体" w:eastAsia="宋体" w:cs="宋体"/>
                <w:bCs/>
                <w:color w:val="000000"/>
                <w:kern w:val="0"/>
                <w:sz w:val="24"/>
                <w:lang w:bidi="ar"/>
              </w:rPr>
              <w:sym w:font="Wingdings 2" w:char="00A3"/>
            </w:r>
            <w:r>
              <w:rPr>
                <w:rFonts w:ascii="宋体" w:hAnsi="宋体" w:eastAsia="宋体" w:cs="宋体"/>
                <w:bCs/>
                <w:color w:val="000000"/>
                <w:kern w:val="0"/>
                <w:sz w:val="24"/>
                <w:lang w:bidi="ar"/>
              </w:rPr>
              <w:t>书面答复</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结果</w:t>
            </w:r>
            <w:r>
              <w:rPr>
                <w:rFonts w:ascii="宋体" w:hAnsi="宋体" w:eastAsia="宋体" w:cs="宋体"/>
                <w:color w:val="000000"/>
                <w:kern w:val="0"/>
                <w:sz w:val="28"/>
                <w:szCs w:val="28"/>
                <w:lang w:bidi="ar"/>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kern w:val="0"/>
                <w:sz w:val="24"/>
                <w:lang w:bidi="ar"/>
              </w:rPr>
              <w:sym w:font="Wingdings 2" w:char="00A3"/>
            </w:r>
            <w:r>
              <w:rPr>
                <w:rFonts w:ascii="宋体" w:hAnsi="宋体" w:eastAsia="宋体" w:cs="宋体"/>
                <w:color w:val="000000"/>
                <w:kern w:val="0"/>
                <w:sz w:val="24"/>
                <w:lang w:bidi="ar"/>
              </w:rPr>
              <w:t>是</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否</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免费</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无</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□线上支付</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□现金支付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无需收费</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kern w:val="0"/>
                <w:sz w:val="24"/>
                <w:lang w:bidi="ar"/>
              </w:rPr>
              <w:t>□</w:t>
            </w:r>
            <w:r>
              <w:rPr>
                <w:rFonts w:hint="eastAsia" w:ascii="宋体" w:hAnsi="宋体" w:eastAsia="宋体" w:cs="宋体"/>
                <w:color w:val="000000"/>
                <w:kern w:val="0"/>
                <w:sz w:val="24"/>
                <w:lang w:bidi="ar"/>
              </w:rPr>
              <w:t xml:space="preserve">自取  </w:t>
            </w:r>
            <w:r>
              <w:rPr>
                <w:rFonts w:ascii="宋体" w:hAnsi="宋体" w:eastAsia="宋体" w:cs="宋体"/>
                <w:color w:val="000000"/>
                <w:kern w:val="0"/>
                <w:sz w:val="24"/>
                <w:lang w:bidi="ar"/>
              </w:rPr>
              <w:t xml:space="preserve">      □</w:t>
            </w:r>
            <w:r>
              <w:rPr>
                <w:rFonts w:hint="eastAsia" w:ascii="宋体" w:hAnsi="宋体" w:eastAsia="宋体" w:cs="宋体"/>
                <w:color w:val="000000"/>
                <w:kern w:val="0"/>
                <w:sz w:val="24"/>
                <w:lang w:bidi="ar"/>
              </w:rPr>
              <w:t xml:space="preserve">邮寄  </w:t>
            </w:r>
            <w:r>
              <w:rPr>
                <w:rFonts w:ascii="宋体" w:hAnsi="宋体" w:eastAsia="宋体" w:cs="宋体"/>
                <w:color w:val="000000"/>
                <w:kern w:val="0"/>
                <w:sz w:val="24"/>
                <w:lang w:bidi="ar"/>
              </w:rPr>
              <w:t xml:space="preserve">     □网页自行下载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无文书送达</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宋体" w:hAnsi="宋体" w:eastAsia="宋体" w:cs="宋体"/>
                <w:color w:val="000000"/>
                <w:kern w:val="0"/>
                <w:sz w:val="28"/>
                <w:szCs w:val="28"/>
                <w:lang w:val="en-US" w:bidi="ar"/>
              </w:rPr>
            </w:pPr>
            <w:r>
              <w:rPr>
                <w:rFonts w:hint="eastAsia" w:ascii="宋体" w:hAnsi="宋体" w:eastAsia="宋体" w:cs="宋体"/>
                <w:color w:val="000000"/>
                <w:kern w:val="0"/>
                <w:sz w:val="28"/>
                <w:szCs w:val="28"/>
                <w:lang w:val="en-US" w:eastAsia="zh-CN" w:bidi="ar"/>
              </w:rPr>
              <w:t>0750-2888473</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0750-2303115</w:t>
            </w:r>
          </w:p>
        </w:tc>
      </w:tr>
    </w:tbl>
    <w:p/>
    <w:p/>
    <w:p/>
    <w:p/>
    <w:p/>
    <w:p/>
    <w:p/>
    <w:p/>
    <w:p/>
    <w:p/>
    <w:p/>
    <w:p/>
    <w:p/>
    <w:p/>
    <w:p/>
    <w:p/>
    <w:p/>
    <w:p/>
    <w:p/>
    <w:p/>
    <w:p/>
    <w:p/>
    <w:p/>
    <w:p/>
    <w:p/>
    <w:p/>
    <w:p/>
    <w:p/>
    <w:p/>
    <w:p/>
    <w:p/>
    <w:p/>
    <w:p/>
    <w:p/>
    <w:p/>
    <w:p/>
    <w:p>
      <w:r>
        <w:t>附件一：申请材料样本</w:t>
      </w:r>
    </w:p>
    <w:p>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pPr>
        <w:jc w:val="center"/>
        <w:rPr>
          <w:rFonts w:ascii="仿宋" w:hAnsi="仿宋" w:eastAsia="仿宋" w:cs="仿宋"/>
          <w:b/>
          <w:bCs/>
          <w:sz w:val="48"/>
          <w:szCs w:val="48"/>
        </w:rPr>
      </w:pPr>
    </w:p>
    <w:tbl>
      <w:tblPr>
        <w:tblStyle w:val="6"/>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pPr>
              <w:jc w:val="center"/>
              <w:rPr>
                <w:rFonts w:ascii="仿宋" w:hAnsi="仿宋" w:eastAsia="仿宋" w:cs="仿宋"/>
                <w:b/>
                <w:bCs/>
                <w:sz w:val="28"/>
                <w:szCs w:val="28"/>
              </w:rPr>
            </w:pPr>
          </w:p>
        </w:tc>
        <w:tc>
          <w:tcPr>
            <w:tcW w:w="803" w:type="dxa"/>
            <w:gridSpan w:val="2"/>
            <w:vAlign w:val="center"/>
          </w:tcPr>
          <w:p>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pPr>
              <w:jc w:val="center"/>
              <w:rPr>
                <w:rFonts w:ascii="仿宋" w:hAnsi="仿宋" w:eastAsia="仿宋" w:cs="仿宋"/>
                <w:b/>
                <w:bCs/>
                <w:sz w:val="28"/>
                <w:szCs w:val="28"/>
              </w:rPr>
            </w:pPr>
          </w:p>
        </w:tc>
        <w:tc>
          <w:tcPr>
            <w:tcW w:w="1228" w:type="dxa"/>
            <w:gridSpan w:val="4"/>
            <w:vAlign w:val="center"/>
          </w:tcPr>
          <w:p>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pPr>
              <w:jc w:val="center"/>
              <w:rPr>
                <w:rFonts w:ascii="仿宋" w:hAnsi="仿宋" w:eastAsia="仿宋" w:cs="仿宋"/>
                <w:b/>
                <w:bCs/>
                <w:sz w:val="28"/>
                <w:szCs w:val="28"/>
              </w:rPr>
            </w:pPr>
          </w:p>
        </w:tc>
        <w:tc>
          <w:tcPr>
            <w:tcW w:w="1010"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pPr>
              <w:jc w:val="center"/>
              <w:rPr>
                <w:rFonts w:ascii="仿宋" w:hAnsi="仿宋" w:eastAsia="仿宋" w:cs="仿宋"/>
                <w:b/>
                <w:bCs/>
                <w:sz w:val="28"/>
                <w:szCs w:val="28"/>
              </w:rPr>
            </w:pPr>
          </w:p>
        </w:tc>
        <w:tc>
          <w:tcPr>
            <w:tcW w:w="456"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396" w:type="dxa"/>
            <w:vAlign w:val="center"/>
          </w:tcPr>
          <w:p>
            <w:pPr>
              <w:jc w:val="center"/>
              <w:rPr>
                <w:rFonts w:ascii="仿宋" w:hAnsi="仿宋" w:eastAsia="仿宋" w:cs="仿宋"/>
                <w:b/>
                <w:bCs/>
                <w:sz w:val="28"/>
                <w:szCs w:val="28"/>
              </w:rPr>
            </w:pPr>
          </w:p>
        </w:tc>
        <w:tc>
          <w:tcPr>
            <w:tcW w:w="407"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60" w:type="dxa"/>
            <w:vAlign w:val="center"/>
          </w:tcPr>
          <w:p>
            <w:pPr>
              <w:jc w:val="center"/>
              <w:rPr>
                <w:rFonts w:ascii="仿宋" w:hAnsi="仿宋" w:eastAsia="仿宋" w:cs="仿宋"/>
                <w:b/>
                <w:bCs/>
                <w:sz w:val="28"/>
                <w:szCs w:val="28"/>
              </w:rPr>
            </w:pPr>
          </w:p>
        </w:tc>
        <w:tc>
          <w:tcPr>
            <w:tcW w:w="528" w:type="dxa"/>
            <w:gridSpan w:val="2"/>
            <w:vAlign w:val="center"/>
          </w:tcPr>
          <w:p>
            <w:pPr>
              <w:jc w:val="center"/>
              <w:rPr>
                <w:rFonts w:ascii="仿宋" w:hAnsi="仿宋" w:eastAsia="仿宋" w:cs="仿宋"/>
                <w:b/>
                <w:bCs/>
                <w:sz w:val="28"/>
                <w:szCs w:val="28"/>
              </w:rPr>
            </w:pPr>
          </w:p>
        </w:tc>
        <w:tc>
          <w:tcPr>
            <w:tcW w:w="456" w:type="dxa"/>
            <w:gridSpan w:val="2"/>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417" w:type="dxa"/>
            <w:gridSpan w:val="2"/>
            <w:vAlign w:val="center"/>
          </w:tcPr>
          <w:p>
            <w:pPr>
              <w:jc w:val="center"/>
              <w:rPr>
                <w:rFonts w:ascii="仿宋" w:hAnsi="仿宋" w:eastAsia="仿宋" w:cs="仿宋"/>
                <w:b/>
                <w:bCs/>
                <w:sz w:val="28"/>
                <w:szCs w:val="28"/>
              </w:rPr>
            </w:pPr>
          </w:p>
        </w:tc>
        <w:tc>
          <w:tcPr>
            <w:tcW w:w="435"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420" w:type="dxa"/>
            <w:gridSpan w:val="3"/>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528" w:type="dxa"/>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pP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pPr>
              <w:jc w:val="center"/>
              <w:rPr>
                <w:rFonts w:ascii="仿宋" w:hAnsi="仿宋" w:eastAsia="仿宋" w:cs="仿宋"/>
                <w:b/>
                <w:bCs/>
                <w:sz w:val="28"/>
                <w:szCs w:val="28"/>
              </w:rPr>
            </w:pPr>
          </w:p>
        </w:tc>
        <w:tc>
          <w:tcPr>
            <w:tcW w:w="1545" w:type="dxa"/>
            <w:gridSpan w:val="6"/>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pPr>
              <w:jc w:val="center"/>
              <w:rPr>
                <w:rFonts w:ascii="仿宋" w:hAnsi="仿宋" w:eastAsia="仿宋" w:cs="仿宋"/>
                <w:b/>
                <w:bCs/>
                <w:sz w:val="28"/>
                <w:szCs w:val="28"/>
              </w:rPr>
            </w:pPr>
            <w:r>
              <w:rPr>
                <w:rFonts w:ascii="仿宋" w:hAnsi="仿宋" w:eastAsia="仿宋" w:cs="仿宋"/>
                <w:b/>
                <w:bCs/>
                <w:sz w:val="28"/>
                <w:szCs w:val="28"/>
              </w:rPr>
              <w:t>查询XXXX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pPr>
              <w:spacing w:line="360" w:lineRule="auto"/>
              <w:rPr>
                <w:rFonts w:ascii="仿宋" w:hAnsi="仿宋" w:eastAsia="仿宋" w:cs="仿宋"/>
                <w:b/>
                <w:bCs/>
                <w:sz w:val="24"/>
              </w:rPr>
            </w:pPr>
          </w:p>
          <w:p>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pPr>
              <w:spacing w:line="360" w:lineRule="auto"/>
              <w:rPr>
                <w:rFonts w:ascii="仿宋" w:hAnsi="仿宋" w:eastAsia="仿宋" w:cs="仿宋"/>
                <w:b/>
                <w:bCs/>
                <w:sz w:val="24"/>
              </w:rPr>
            </w:pPr>
            <w:r>
              <w:rPr>
                <w:rFonts w:hint="eastAsia" w:ascii="仿宋" w:hAnsi="仿宋" w:eastAsia="仿宋" w:cs="仿宋"/>
                <w:b/>
                <w:bCs/>
                <w:sz w:val="24"/>
              </w:rPr>
              <w:t xml:space="preserve">□其他 </w:t>
            </w:r>
          </w:p>
          <w:p>
            <w:pPr>
              <w:spacing w:line="360" w:lineRule="auto"/>
              <w:rPr>
                <w:rFonts w:ascii="仿宋" w:hAnsi="仿宋" w:eastAsia="仿宋" w:cs="仿宋"/>
                <w:b/>
                <w:bCs/>
                <w:sz w:val="24"/>
              </w:rPr>
            </w:pPr>
            <w:r>
              <w:rPr>
                <w:rFonts w:hint="eastAsia" w:ascii="仿宋" w:hAnsi="仿宋" w:eastAsia="仿宋" w:cs="仿宋"/>
                <w:b/>
                <w:bCs/>
                <w:sz w:val="24"/>
              </w:rPr>
              <w:t xml:space="preserve">  </w:t>
            </w:r>
          </w:p>
        </w:tc>
        <w:tc>
          <w:tcPr>
            <w:tcW w:w="1323" w:type="dxa"/>
            <w:gridSpan w:val="5"/>
            <w:vAlign w:val="center"/>
          </w:tcPr>
          <w:p>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pPr>
              <w:rPr>
                <w:rFonts w:ascii="仿宋" w:hAnsi="仿宋" w:eastAsia="仿宋" w:cs="仿宋"/>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 w:val="24"/>
                <w:u w:val="single"/>
              </w:rPr>
              <w:t xml:space="preserve">                                            </w:t>
            </w:r>
            <w:r>
              <w:rPr>
                <w:rFonts w:hint="eastAsia" w:ascii="仿宋" w:hAnsi="仿宋" w:eastAsia="仿宋" w:cs="仿宋"/>
                <w:b/>
                <w:bCs/>
                <w:szCs w:val="21"/>
              </w:rPr>
              <w:t>（勾选“其他”请填写）</w:t>
            </w:r>
          </w:p>
          <w:p>
            <w:pPr>
              <w:jc w:val="center"/>
              <w:rPr>
                <w:rFonts w:ascii="仿宋" w:hAnsi="仿宋" w:eastAsia="仿宋" w:cs="仿宋"/>
                <w:b/>
                <w:bCs/>
                <w:sz w:val="24"/>
              </w:rPr>
            </w:pPr>
            <w:r>
              <w:rPr>
                <w:rFonts w:hint="eastAsia" w:ascii="仿宋" w:hAnsi="仿宋" w:eastAsia="仿宋" w:cs="仿宋"/>
                <w:b/>
                <w:bCs/>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pPr>
              <w:jc w:val="center"/>
              <w:rPr>
                <w:rFonts w:ascii="仿宋" w:hAnsi="仿宋" w:eastAsia="仿宋" w:cs="仿宋"/>
                <w:b/>
                <w:bCs/>
                <w:sz w:val="28"/>
                <w:szCs w:val="28"/>
              </w:rPr>
            </w:pPr>
          </w:p>
        </w:tc>
      </w:tr>
    </w:tbl>
    <w:p/>
    <w:p/>
    <w:p/>
    <w:p/>
    <w:p>
      <w:r>
        <w:t>附件二：办理流程图</w:t>
      </w:r>
    </w:p>
    <w:p>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Light">
    <w:altName w:val="宋体"/>
    <w:panose1 w:val="00000000000000000000"/>
    <w:charset w:val="86"/>
    <w:family w:val="swiss"/>
    <w:pitch w:val="default"/>
    <w:sig w:usb0="00000000" w:usb1="00000000" w:usb2="00000016" w:usb3="00000000" w:csb0="003E01BF" w:csb1="00000000"/>
  </w:font>
  <w:font w:name="Microsoft JhengHei UI Light">
    <w:altName w:val="宋体"/>
    <w:panose1 w:val="00000000000000000000"/>
    <w:charset w:val="86"/>
    <w:family w:val="swiss"/>
    <w:pitch w:val="default"/>
    <w:sig w:usb0="00000000" w:usb1="00000000" w:usb2="00000016" w:usb3="00000000" w:csb0="003E01BF" w:csb1="0000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1FFDB7B"/>
    <w:rsid w:val="000B4BD2"/>
    <w:rsid w:val="0049625C"/>
    <w:rsid w:val="004A139A"/>
    <w:rsid w:val="005C6A44"/>
    <w:rsid w:val="0091407B"/>
    <w:rsid w:val="00BF6E12"/>
    <w:rsid w:val="00E33536"/>
    <w:rsid w:val="00E86485"/>
    <w:rsid w:val="00EC3001"/>
    <w:rsid w:val="0D782246"/>
    <w:rsid w:val="0F6E1253"/>
    <w:rsid w:val="1FCBC273"/>
    <w:rsid w:val="2DE4402F"/>
    <w:rsid w:val="31114D8F"/>
    <w:rsid w:val="36BD3714"/>
    <w:rsid w:val="3BFF04C5"/>
    <w:rsid w:val="57671A88"/>
    <w:rsid w:val="5F5A3F72"/>
    <w:rsid w:val="67FF8A43"/>
    <w:rsid w:val="6A177BCB"/>
    <w:rsid w:val="6A49F83B"/>
    <w:rsid w:val="6FDF411E"/>
    <w:rsid w:val="76BDE588"/>
    <w:rsid w:val="7BFF5695"/>
    <w:rsid w:val="7CF598A8"/>
    <w:rsid w:val="7EFECF7E"/>
    <w:rsid w:val="7FBFCCF6"/>
    <w:rsid w:val="7FF604C2"/>
    <w:rsid w:val="BF7FF36E"/>
    <w:rsid w:val="C57F8CA1"/>
    <w:rsid w:val="C7032B0E"/>
    <w:rsid w:val="CDF91DE9"/>
    <w:rsid w:val="D1FFDB7B"/>
    <w:rsid w:val="DFF7A363"/>
    <w:rsid w:val="F5CD0C1E"/>
    <w:rsid w:val="FEEE4708"/>
    <w:rsid w:val="FF7F29C0"/>
    <w:rsid w:val="FFDECAF5"/>
    <w:rsid w:val="FFFE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3"/>
    <w:qFormat/>
    <w:uiPriority w:val="0"/>
    <w:rPr>
      <w:sz w:val="18"/>
      <w:szCs w:val="18"/>
    </w:rPr>
  </w:style>
  <w:style w:type="paragraph" w:styleId="3">
    <w:name w:val="footer"/>
    <w:basedOn w:val="1"/>
    <w:link w:val="12"/>
    <w:qFormat/>
    <w:uiPriority w:val="0"/>
    <w:pPr>
      <w:tabs>
        <w:tab w:val="center" w:pos="4153"/>
        <w:tab w:val="right" w:pos="8306"/>
      </w:tabs>
      <w:snapToGrid w:val="0"/>
      <w:jc w:val="left"/>
    </w:pPr>
    <w:rPr>
      <w:sz w:val="18"/>
      <w:szCs w:val="18"/>
    </w:rPr>
  </w:style>
  <w:style w:type="paragraph" w:styleId="4">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Hyperlink"/>
    <w:basedOn w:val="7"/>
    <w:qFormat/>
    <w:uiPriority w:val="0"/>
    <w:rPr>
      <w:color w:val="0000FF"/>
      <w:u w:val="single"/>
    </w:rPr>
  </w:style>
  <w:style w:type="character" w:customStyle="1" w:styleId="9">
    <w:name w:val="font21"/>
    <w:basedOn w:val="7"/>
    <w:qFormat/>
    <w:uiPriority w:val="0"/>
    <w:rPr>
      <w:rFonts w:ascii="Microsoft JhengHei Light" w:hAnsi="Microsoft JhengHei Light" w:eastAsia="Microsoft JhengHei Light" w:cs="Microsoft JhengHei Light"/>
      <w:color w:val="666666"/>
      <w:sz w:val="9"/>
      <w:szCs w:val="9"/>
      <w:u w:val="none"/>
    </w:rPr>
  </w:style>
  <w:style w:type="character" w:customStyle="1" w:styleId="10">
    <w:name w:val="font01"/>
    <w:basedOn w:val="7"/>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1">
    <w:name w:val="页眉 Char"/>
    <w:basedOn w:val="7"/>
    <w:link w:val="4"/>
    <w:qFormat/>
    <w:uiPriority w:val="0"/>
    <w:rPr>
      <w:rFonts w:asciiTheme="minorHAnsi" w:hAnsiTheme="minorHAnsi" w:eastAsiaTheme="minorEastAsia" w:cstheme="minorBidi"/>
      <w:kern w:val="2"/>
      <w:sz w:val="18"/>
      <w:szCs w:val="18"/>
    </w:rPr>
  </w:style>
  <w:style w:type="character" w:customStyle="1" w:styleId="12">
    <w:name w:val="页脚 Char"/>
    <w:basedOn w:val="7"/>
    <w:link w:val="3"/>
    <w:qFormat/>
    <w:uiPriority w:val="0"/>
    <w:rPr>
      <w:rFonts w:asciiTheme="minorHAnsi" w:hAnsiTheme="minorHAnsi" w:eastAsiaTheme="minorEastAsia" w:cstheme="minorBidi"/>
      <w:kern w:val="2"/>
      <w:sz w:val="18"/>
      <w:szCs w:val="18"/>
    </w:rPr>
  </w:style>
  <w:style w:type="character" w:customStyle="1" w:styleId="13">
    <w:name w:val="批注框文本 Char"/>
    <w:basedOn w:val="7"/>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Pages>
  <Words>226</Words>
  <Characters>1293</Characters>
  <Lines>10</Lines>
  <Paragraphs>3</Paragraphs>
  <TotalTime>1</TotalTime>
  <ScaleCrop>false</ScaleCrop>
  <LinksUpToDate>false</LinksUpToDate>
  <CharactersWithSpaces>1516</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2020-04-20T06:12:00Z</dcterms:created>
  <dc:creator>guagua</dc:creator>
  <cp:lastModifiedBy>Administrator</cp:lastModifiedBy>
  <dcterms:modified xsi:type="dcterms:W3CDTF">2021-02-23T06:56:57Z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