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台洞</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56E071B"/>
    <w:rsid w:val="0A9D0D8D"/>
    <w:rsid w:val="0F6E1253"/>
    <w:rsid w:val="2A7D06B6"/>
    <w:rsid w:val="2FAEEB3D"/>
    <w:rsid w:val="3BFF04C5"/>
    <w:rsid w:val="42E21CEB"/>
    <w:rsid w:val="45CC09BB"/>
    <w:rsid w:val="480825D7"/>
    <w:rsid w:val="4EEB5532"/>
    <w:rsid w:val="57671A88"/>
    <w:rsid w:val="578A37BA"/>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2021-02-23T08:35:40Z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