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r>
              <w:rPr>
                <w:rFonts w:ascii="宋体" w:hAnsi="宋体" w:eastAsia="宋体" w:cs="宋体"/>
                <w:color w:val="000000"/>
                <w:sz w:val="24"/>
              </w:rPr>
              <w:t>前往</w:t>
            </w:r>
            <w:r>
              <w:rPr>
                <w:rFonts w:hint="eastAsia" w:ascii="宋体" w:hAnsi="宋体" w:eastAsia="宋体" w:cs="宋体"/>
                <w:color w:val="000000"/>
                <w:sz w:val="24"/>
              </w:rPr>
              <w:t>开平市沙塘镇公共法律服务工作站</w:t>
            </w:r>
            <w:r>
              <w:rPr>
                <w:rFonts w:ascii="宋体" w:hAnsi="宋体" w:eastAsia="宋体" w:cs="宋体"/>
                <w:color w:val="000000"/>
                <w:sz w:val="24"/>
              </w:rPr>
              <w:t>查询省内基层法律服务所地址、联系电话的群众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开平市沙塘镇公共法律服务工作站</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480" w:firstLineChars="20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江门市开平市沙塘镇沙塘东路一号（沙塘政府大院内）</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80" w:firstLineChars="100"/>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周一至周五（法定节假日除外）上午8:</w:t>
            </w:r>
            <w:r>
              <w:rPr>
                <w:rFonts w:ascii="宋体" w:hAnsi="宋体" w:eastAsia="宋体" w:cs="宋体"/>
                <w:color w:val="000000"/>
                <w:sz w:val="28"/>
                <w:szCs w:val="28"/>
              </w:rPr>
              <w:t>3</w:t>
            </w:r>
            <w:r>
              <w:rPr>
                <w:rFonts w:hint="eastAsia" w:ascii="宋体" w:hAnsi="宋体" w:eastAsia="宋体" w:cs="宋体"/>
                <w:color w:val="000000"/>
                <w:sz w:val="28"/>
                <w:szCs w:val="28"/>
              </w:rPr>
              <w:t>0-12:00下午14:30-17:30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0750-2888504</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E7557F"/>
    <w:rsid w:val="00E92AD4"/>
    <w:rsid w:val="00EE4612"/>
    <w:rsid w:val="0F6E1253"/>
    <w:rsid w:val="3BFF04C5"/>
    <w:rsid w:val="3CB44B8C"/>
    <w:rsid w:val="57671A88"/>
    <w:rsid w:val="5ECF0F4C"/>
    <w:rsid w:val="5F5A3F72"/>
    <w:rsid w:val="67FF8A43"/>
    <w:rsid w:val="6A49F83B"/>
    <w:rsid w:val="76BDE588"/>
    <w:rsid w:val="7BFF5695"/>
    <w:rsid w:val="7CF598A8"/>
    <w:rsid w:val="7DEE5D87"/>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222</Words>
  <Characters>1266</Characters>
  <Lines>10</Lines>
  <Paragraphs>2</Paragraphs>
  <TotalTime>15</TotalTime>
  <ScaleCrop>false</ScaleCrop>
  <LinksUpToDate>false</LinksUpToDate>
  <CharactersWithSpaces>1486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2021-02-23T07:15:27Z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