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distribute"/>
        <w:rPr>
          <w:b/>
          <w:color w:val="FF0000"/>
          <w:w w:val="80"/>
          <w:sz w:val="100"/>
        </w:rPr>
      </w:pPr>
      <w:r>
        <w:rPr>
          <w:rFonts w:hint="eastAsia"/>
          <w:b/>
          <w:color w:val="FF0000"/>
          <w:w w:val="80"/>
          <w:sz w:val="100"/>
        </w:rPr>
        <w:t>开</w:t>
      </w:r>
      <w:r>
        <w:rPr>
          <w:b/>
          <w:color w:val="FF0000"/>
          <w:w w:val="80"/>
          <w:sz w:val="100"/>
        </w:rPr>
        <w:t xml:space="preserve"> </w:t>
      </w:r>
      <w:r>
        <w:rPr>
          <w:rFonts w:hint="eastAsia"/>
          <w:b/>
          <w:color w:val="FF0000"/>
          <w:w w:val="80"/>
          <w:sz w:val="100"/>
        </w:rPr>
        <w:t>平</w:t>
      </w:r>
      <w:r>
        <w:rPr>
          <w:b/>
          <w:color w:val="FF0000"/>
          <w:w w:val="80"/>
          <w:sz w:val="100"/>
        </w:rPr>
        <w:t xml:space="preserve"> </w:t>
      </w:r>
      <w:r>
        <w:rPr>
          <w:rFonts w:hint="eastAsia"/>
          <w:b/>
          <w:color w:val="FF0000"/>
          <w:w w:val="80"/>
          <w:sz w:val="100"/>
        </w:rPr>
        <w:t>市</w:t>
      </w:r>
      <w:r>
        <w:rPr>
          <w:b/>
          <w:color w:val="FF0000"/>
          <w:w w:val="80"/>
          <w:sz w:val="100"/>
        </w:rPr>
        <w:t xml:space="preserve"> </w:t>
      </w:r>
      <w:r>
        <w:rPr>
          <w:rFonts w:hint="eastAsia"/>
          <w:b/>
          <w:color w:val="FF0000"/>
          <w:w w:val="80"/>
          <w:sz w:val="100"/>
        </w:rPr>
        <w:t>民</w:t>
      </w:r>
      <w:r>
        <w:rPr>
          <w:b/>
          <w:color w:val="FF0000"/>
          <w:w w:val="80"/>
          <w:sz w:val="100"/>
        </w:rPr>
        <w:t xml:space="preserve"> </w:t>
      </w:r>
      <w:r>
        <w:rPr>
          <w:rFonts w:hint="eastAsia"/>
          <w:b/>
          <w:color w:val="FF0000"/>
          <w:w w:val="80"/>
          <w:sz w:val="100"/>
        </w:rPr>
        <w:t>政</w:t>
      </w:r>
      <w:r>
        <w:rPr>
          <w:b/>
          <w:color w:val="FF0000"/>
          <w:w w:val="80"/>
          <w:sz w:val="100"/>
        </w:rPr>
        <w:t xml:space="preserve"> </w:t>
      </w:r>
      <w:r>
        <w:rPr>
          <w:rFonts w:hint="eastAsia"/>
          <w:b/>
          <w:color w:val="FF0000"/>
          <w:w w:val="80"/>
          <w:sz w:val="100"/>
        </w:rPr>
        <w:t>局</w:t>
      </w:r>
    </w:p>
    <w:p>
      <w:pPr>
        <w:spacing w:line="200" w:lineRule="exact"/>
        <w:rPr>
          <w:rFonts w:hint="eastAsia" w:ascii="宋体" w:hAnsi="宋体"/>
          <w:b/>
          <w:bCs/>
          <w:sz w:val="44"/>
          <w:szCs w:val="44"/>
        </w:rPr>
      </w:pP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69850</wp:posOffset>
                </wp:positionV>
                <wp:extent cx="5292090" cy="26035"/>
                <wp:effectExtent l="0" t="28575" r="11430" b="36830"/>
                <wp:wrapNone/>
                <wp:docPr id="2" name="直接连接符 2"/>
                <wp:cNvGraphicFramePr/>
                <a:graphic xmlns:a="http://schemas.openxmlformats.org/drawingml/2006/main">
                  <a:graphicData uri="http://schemas.microsoft.com/office/word/2010/wordprocessingShape">
                    <wps:wsp>
                      <wps:cNvCnPr/>
                      <wps:spPr>
                        <a:xfrm>
                          <a:off x="0" y="0"/>
                          <a:ext cx="5292090" cy="2603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5pt;height:2.05pt;width:416.7pt;z-index:251659264;mso-width-relative:page;mso-height-relative:page;" filled="f" stroked="t" coordsize="21600,21600" o:allowincell="f" o:gfxdata="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YrhhzTAAAABgEAAA8AAAAAAAAAAQAgAAAAIgAAAGRycy9kb3ducmV2&#10;LnhtbFBLAQIUABQAAAAIAIdO4kAL4TXZAQIAAP0DAAAOAAAAAAAAAAEAIAAAACIBAABkcnMvZTJv&#10;RG9jLnhtbFBLBQYAAAAABgAGAFkBAACVBQAAAAA=&#10;">
                <v:fill on="f" focussize="0,0"/>
                <v:stroke weight="4.5pt" color="#FF0000" linestyle="thickThin" joinstyle="round"/>
                <v:imagedata o:title=""/>
                <o:lock v:ext="edit" aspectratio="f"/>
              </v:line>
            </w:pict>
          </mc:Fallback>
        </mc:AlternateContent>
      </w:r>
    </w:p>
    <w:p>
      <w:pPr>
        <w:jc w:val="center"/>
        <w:rPr>
          <w:rFonts w:hint="eastAsia" w:ascii="宋体" w:hAnsi="宋体"/>
          <w:b/>
          <w:bCs/>
          <w:sz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开平市</w:t>
      </w:r>
      <w:r>
        <w:rPr>
          <w:rFonts w:hint="eastAsia" w:asciiTheme="majorEastAsia" w:hAnsiTheme="majorEastAsia" w:eastAsiaTheme="majorEastAsia" w:cstheme="majorEastAsia"/>
          <w:b/>
          <w:bCs/>
          <w:sz w:val="44"/>
          <w:szCs w:val="44"/>
        </w:rPr>
        <w:t>民政局重大行政执法决定目录清单</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重大执法决定，是指本局作</w:t>
      </w:r>
      <w:bookmarkStart w:id="0" w:name="_GoBack"/>
      <w:bookmarkEnd w:id="0"/>
      <w:r>
        <w:rPr>
          <w:rFonts w:hint="eastAsia" w:ascii="仿宋" w:hAnsi="仿宋" w:eastAsia="仿宋" w:cs="仿宋"/>
          <w:sz w:val="32"/>
          <w:szCs w:val="32"/>
        </w:rPr>
        <w:t>出的重大行政处罚、行政许可、行政强制等决定。重大行政执法决定在本局执法机构在形成重大行政执法决定的处理建议后，应由局办公室对拟作出重大行政执法决定的合法性、适当性进行审核，再提请局领导签发决定。本局重大行政执法决定目录清单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一、重大行政执法决定包括下列事项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1、涉及重大国家利益和公共利益的；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2、案件情况复杂或者社会影响较大的；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3、需经听证程序作出决定的；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4、法律、法规、规章规定应当进行法制审核的。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二、下列行政处罚事项属于重大行政执法决定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1、对社会组织予以撤销登记（吊销慈善组织登记证书）；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2、对非法社会组织予以取缔；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3、对社会组织限期停止活动；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4、会同建设、土地行政管理部门对擅自兴建殡葬设施行为予以取缔；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5、对故意损毁或者擅自移动界桩或者其他行政区域界线标志物的处罚；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6、对擅自编制行政区域界线详图或者绘制的地图的行政区域界线的画法与行政区域界线详图的画法不一致的处罚；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7、对养老机构予以依法撤销许可；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8、对公民处以5000元以上罚款，对法人或其他组织处以 2万元以上罚款。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三、下列行政许可事项属于重大行政执法决定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1、对慈善组织公开募捐资格的许可。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四、下列行政强制事项属于重大行政执法决定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1、对社会组织的登记证书、印章和财务凭证实施封存。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2、对难以退还捐赠人的违法募捐活动募集的财产予以收缴，并转给其他慈善组织用于慈善目的。</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449DD"/>
    <w:rsid w:val="215D3C18"/>
    <w:rsid w:val="45F36436"/>
    <w:rsid w:val="51233BBE"/>
    <w:rsid w:val="5BFB0889"/>
    <w:rsid w:val="6D535020"/>
    <w:rsid w:val="726449DD"/>
    <w:rsid w:val="7468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2018-11-20T02:12:00Z</dcterms:created>
  <dc:creator>坚不可摧2017</dc:creator>
  <cp:lastModifiedBy>坚不可摧2017</cp:lastModifiedBy>
  <cp:lastPrinted>2018-12-06T08:52:00Z</cp:lastPrinted>
  <dcterms:modified xsi:type="dcterms:W3CDTF">2021-09-03T03:02:53Z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9F4ABFA40E3E4270BDEEB9A12A1303C0</vt:lpwstr>
  </property>
</Properties>
</file>