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after="0" w:line="420" w:lineRule="atLeast"/>
        <w:jc w:val="center"/>
        <w:rPr>
          <w:rFonts w:hint="eastAsia" w:ascii="方正小标宋简体" w:hAnsi="宋体" w:eastAsia="方正小标宋简体"/>
          <w:b/>
          <w:color w:val="000000"/>
          <w:sz w:val="44"/>
        </w:rPr>
      </w:pPr>
      <w:r>
        <w:rPr>
          <w:rFonts w:hint="eastAsia" w:ascii="方正小标宋简体" w:hAnsi="宋体" w:eastAsia="方正小标宋简体"/>
          <w:b/>
          <w:color w:val="000000"/>
          <w:sz w:val="44"/>
        </w:rPr>
        <w:t>开平市2022年政府债券存续期信息公开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一、一般债券相关情况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截至2022年末，开平市一般债券余额为517,369.00万元，发行利率在2.66%至4.21%之间,期限有5年、7年、10、15年。债券资金已全部支出，主要投向交通基础设施、市政和产业园区、医疗卫生、农林水利项目等领域。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一般债券资金纳入我市财政预算管理，以一般公共预算收入偿还。2022年发行新增一般债券960.00万元。2022年一般债券到期债务17,560.20万元，已按时上缴本息资金，没有发生逾期情况。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二、专项债券相关情况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截至2022年末，开平市专项债券余额为578,869.90万元，发行利率在2.70%至3.99%之间,期限有5年、7年、10年、15年、20年、30年。债券资金已全部支出，主要投向农林水利、生态环保、交通基础设施、城乡冷链等物流基础设施、市政和产业园区基础设施等领域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专项债券资金纳入我市财政预算管理，以政府性基金收入偿还。2022年发行新增专项债券191,000.00万元。2022年专项债券到期债务为669.60万元，已按时上缴本息资金，没有发生逾期情况。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三、其他情况说明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在债券存续期内，2022年未发生其他按规定需要公开的信息和重大事项。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000000"/>
          <w:sz w:val="32"/>
        </w:rPr>
      </w:pPr>
    </w:p>
    <w:p>
      <w:pPr>
        <w:pStyle w:val="2"/>
        <w:widowControl/>
        <w:spacing w:before="0" w:after="0" w:line="240" w:lineRule="atLeast"/>
        <w:ind w:firstLine="640" w:firstLineChars="2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附表：开平市财政局债券存续期公开表格</w:t>
      </w:r>
    </w:p>
    <w:p>
      <w:pPr>
        <w:pStyle w:val="2"/>
        <w:widowControl/>
        <w:spacing w:before="0" w:after="0" w:line="420" w:lineRule="atLeast"/>
        <w:ind w:right="1282"/>
        <w:jc w:val="right"/>
        <w:rPr>
          <w:rFonts w:hint="eastAsia" w:ascii="仿宋" w:hAnsi="仿宋" w:eastAsia="仿宋"/>
          <w:color w:val="000000"/>
          <w:sz w:val="32"/>
        </w:rPr>
      </w:pP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 xml:space="preserve">                              开平市财政局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/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 xml:space="preserve">                              2023年6月3日</w:t>
      </w:r>
    </w:p>
    <w:p>
      <w:pPr>
        <w:pStyle w:val="2"/>
        <w:widowControl/>
        <w:spacing w:before="0" w:after="0" w:line="160" w:lineRule="atLeast"/>
        <w:ind w:right="1282"/>
        <w:rPr>
          <w:rFonts w:hint="eastAsia" w:ascii="仿宋" w:hAnsi="仿宋" w:eastAsia="仿宋"/>
          <w:color w:val="000000"/>
          <w:sz w:val="32"/>
        </w:rPr>
      </w:pPr>
    </w:p>
    <w:p>
      <w:pPr>
        <w:pStyle w:val="2"/>
        <w:widowControl/>
        <w:spacing w:before="0" w:after="0" w:line="420" w:lineRule="atLeast"/>
        <w:ind w:right="1282"/>
        <w:jc w:val="righ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宋体" w:hAnsi="宋体"/>
          <w:color w:val="000000"/>
          <w:sz w:val="32"/>
        </w:rPr>
        <w:t> </w:t>
      </w:r>
      <w:r>
        <w:rPr>
          <w:rFonts w:hint="eastAsia" w:ascii="仿宋" w:hAnsi="仿宋" w:eastAsia="仿宋"/>
          <w:color w:val="000000"/>
          <w:sz w:val="32"/>
        </w:rPr>
        <w:t xml:space="preserve"> </w:t>
      </w:r>
      <w:r>
        <w:rPr>
          <w:rFonts w:hint="eastAsia" w:ascii="宋体" w:hAnsi="宋体"/>
          <w:color w:val="000000"/>
          <w:sz w:val="3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3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2023-06-09T03:39:21Z</dcterms:created>
  <dc:creator>Administrator</dc:creator>
  <cp:lastModifiedBy>Administrator</cp:lastModifiedBy>
  <dcterms:modified xsi:type="dcterms:W3CDTF">2023-06-09T03:39:35Z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