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26DB5">
      <w:pPr>
        <w:widowControl w:val="0"/>
        <w:spacing w:line="600" w:lineRule="exact"/>
        <w:jc w:val="center"/>
        <w:rPr>
          <w:rFonts w:ascii="方正小标宋简体" w:hAnsi="Times New Roman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Times New Roman" w:eastAsia="方正小标宋简体"/>
          <w:color w:val="auto"/>
          <w:sz w:val="44"/>
          <w:szCs w:val="44"/>
          <w:highlight w:val="none"/>
        </w:rPr>
        <w:t>2024年江门市加力支持家电以旧换新</w:t>
      </w:r>
    </w:p>
    <w:p w14:paraId="36D5C977">
      <w:pPr>
        <w:widowControl w:val="0"/>
        <w:spacing w:line="600" w:lineRule="exact"/>
        <w:jc w:val="center"/>
        <w:rPr>
          <w:rFonts w:ascii="方正小标宋简体" w:hAnsi="Times New Roman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Times New Roman" w:eastAsia="方正小标宋简体"/>
          <w:color w:val="auto"/>
          <w:sz w:val="44"/>
          <w:szCs w:val="44"/>
          <w:highlight w:val="none"/>
        </w:rPr>
        <w:t>促消费活动实施方案</w:t>
      </w:r>
    </w:p>
    <w:p w14:paraId="03111282">
      <w:pPr>
        <w:ind w:firstLine="632" w:firstLineChars="200"/>
        <w:jc w:val="both"/>
        <w:rPr>
          <w:rFonts w:ascii="Times New Roman" w:hAnsi="Times New Roman"/>
          <w:color w:val="auto"/>
          <w:highlight w:val="none"/>
        </w:rPr>
      </w:pPr>
    </w:p>
    <w:p w14:paraId="4C56DFE4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为贯彻落实《国家发展改革委 财政部印发〈关于加力支持大规模设备更新和消费品以旧换新的若干措施〉的通知》（发改环资〔2024〕1104号）、《商务部等4部门办公厅关于进一步做好家电以旧换新工作的通知》（商办流通函〔2024〕397号）、《广东省人民政府办公厅印发&lt;关于用好超长期特别国债资金加力支持消费品以旧换新的实施方案&gt;的通知》（粤办函〔2024〕269号）等文件精神，我市将开展2024年江门市加力支持家电以旧换新促消费活动，制定实施方案如下。</w:t>
      </w:r>
    </w:p>
    <w:p w14:paraId="69AD5344">
      <w:pPr>
        <w:ind w:firstLine="632" w:firstLineChars="200"/>
        <w:jc w:val="both"/>
        <w:rPr>
          <w:rFonts w:hint="eastAsia" w:ascii="方正黑体_GBK" w:eastAsia="方正黑体_GBK"/>
          <w:color w:val="auto"/>
          <w:highlight w:val="none"/>
        </w:rPr>
      </w:pPr>
      <w:r>
        <w:rPr>
          <w:rFonts w:hint="eastAsia" w:ascii="方正黑体_GBK" w:eastAsia="方正黑体_GBK"/>
          <w:color w:val="auto"/>
          <w:highlight w:val="none"/>
        </w:rPr>
        <w:t>一、组织机构</w:t>
      </w:r>
    </w:p>
    <w:p w14:paraId="5A5AF337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主办单位：江门市商务局</w:t>
      </w:r>
    </w:p>
    <w:p w14:paraId="61BCD0FD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协办单位：各县（市、区）商务主管部门</w:t>
      </w:r>
    </w:p>
    <w:p w14:paraId="229D99A0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活动服务机构：银联商务股份有限公司广东分公司</w:t>
      </w:r>
    </w:p>
    <w:p w14:paraId="03457604">
      <w:pPr>
        <w:ind w:firstLine="632" w:firstLineChars="200"/>
        <w:jc w:val="both"/>
        <w:rPr>
          <w:rFonts w:hint="eastAsia" w:ascii="方正黑体_GBK" w:eastAsia="方正黑体_GBK"/>
          <w:color w:val="auto"/>
          <w:highlight w:val="none"/>
        </w:rPr>
      </w:pPr>
      <w:r>
        <w:rPr>
          <w:rFonts w:hint="eastAsia" w:ascii="方正黑体_GBK" w:eastAsia="方正黑体_GBK"/>
          <w:color w:val="auto"/>
          <w:highlight w:val="none"/>
        </w:rPr>
        <w:t>二、活动时间</w:t>
      </w:r>
    </w:p>
    <w:p w14:paraId="33D0E5BD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自本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方案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印发之日起至2024年12月31日。如补贴资金提前用完，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活动自动结束，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结束日期另行公布。</w:t>
      </w:r>
    </w:p>
    <w:p w14:paraId="208D990F">
      <w:pPr>
        <w:ind w:firstLine="632" w:firstLineChars="200"/>
        <w:jc w:val="both"/>
        <w:rPr>
          <w:rFonts w:hint="eastAsia" w:ascii="方正黑体_GBK" w:eastAsia="方正黑体_GBK"/>
          <w:color w:val="auto"/>
          <w:highlight w:val="none"/>
        </w:rPr>
      </w:pPr>
      <w:r>
        <w:rPr>
          <w:rFonts w:hint="eastAsia" w:ascii="方正黑体_GBK" w:eastAsia="方正黑体_GBK"/>
          <w:color w:val="auto"/>
          <w:highlight w:val="none"/>
        </w:rPr>
        <w:t>三、活动补贴内容</w:t>
      </w:r>
    </w:p>
    <w:p w14:paraId="50812CD8">
      <w:pPr>
        <w:ind w:firstLine="632" w:firstLineChars="200"/>
        <w:jc w:val="both"/>
        <w:rPr>
          <w:rFonts w:hint="eastAsia" w:ascii="方正楷体_GBK" w:eastAsia="方正楷体_GBK"/>
          <w:color w:val="auto"/>
          <w:highlight w:val="none"/>
        </w:rPr>
      </w:pPr>
      <w:r>
        <w:rPr>
          <w:rFonts w:hint="eastAsia" w:ascii="方正楷体_GBK" w:eastAsia="方正楷体_GBK"/>
          <w:color w:val="auto"/>
          <w:highlight w:val="none"/>
        </w:rPr>
        <w:t>（一）补贴对象。</w:t>
      </w:r>
    </w:p>
    <w:p w14:paraId="3F39B15B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在活动时间内，对个人消费者（以下简称“购买人”）交售旧家电，并在我市参与活动的家电销售企业购买2级及以上能效或水效标准的冰箱、洗衣机、电视、空调、电脑、热水器、家用灶具、吸油烟机等8类家电产品给予补贴，补贴标准为产品销售价格的15%；对购买1级及以上能效或水效标准的产品，额外再给予产品销售价格5%的补贴。每位消费者每类产品可补贴1件，每件补贴不超过2000元。上述产品销售价格以销售发票含税价格为准。</w:t>
      </w:r>
    </w:p>
    <w:p w14:paraId="05BA2747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交售旧家电需为冰箱、洗衣机、电视、空调、电脑、热水器、家用灶具、吸油烟机等8类产品，但无需与新购买家电类型一一对应。</w:t>
      </w:r>
    </w:p>
    <w:p w14:paraId="30EFB90B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（二）补贴方式。</w:t>
      </w:r>
    </w:p>
    <w:p w14:paraId="049078D4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1.线下补贴。</w:t>
      </w:r>
    </w:p>
    <w:p w14:paraId="3B382E16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购买人通过云闪付、微信等平台进行实名身份验证，领取专项品类资格券（资格券自领取日起8天内有效，逾期失效），并向我市参与活动的家电销售企业交付旧家电和购买新家电，出示资格券核销二维码，按照新家电含税销售价格在支付环节享受立减补贴。补贴资金由企业先行垫付，企业按要求上传相关材料且经审核无误，由市商务局按程序将补贴资金发放至企业账户。企业获得的补贴资金以审核结果为准。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每张资格券只能用于购买一件对应品类的商品，相应开具一张销售发票，不得拆单拼单使用。</w:t>
      </w:r>
    </w:p>
    <w:p w14:paraId="33FC7A73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对于数据异常的交易，经核查后，企业无法提供相关凭证证明为真实消费的，不予兑付资金；对因虚假交易等非真实消费或故意套取政府补贴等行为导致的损失，由企业自行承担。如补贴拨付到企业后发生退货导致优惠券核销作废等情况，企业需主动提出退款请示，并将相应补贴退回有关部门。</w:t>
      </w:r>
    </w:p>
    <w:p w14:paraId="4DDF7660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2.我市将视活动开展情况遴选电商平台，组织线上补贴。</w:t>
      </w:r>
    </w:p>
    <w:p w14:paraId="1CC57B12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（三）补贴申报所需材料。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ab/>
      </w:r>
    </w:p>
    <w:p w14:paraId="4FF3CC5B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补贴资格核验人、旧家电交付人、新家电购买人和补贴享受人必须一致。由参与活动的家电销售企业核实购买人身份信息，向活动平台提交以下信息：</w:t>
      </w:r>
    </w:p>
    <w:p w14:paraId="7873E06D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  <w:t>1.购买人身份信息。</w:t>
      </w:r>
    </w:p>
    <w:p w14:paraId="3982D825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核实购买人身份证件信息，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上传购买人身份证件照片，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并填妥购买人姓名及手机号码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等信息。</w:t>
      </w:r>
    </w:p>
    <w:p w14:paraId="3D556279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  <w:t>2.购买新家电资料。</w:t>
      </w:r>
    </w:p>
    <w:p w14:paraId="4129D5DF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上传新家电整体外观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照片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（不得使用样机、试用机等）、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新家电能效（水效）标识照片、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新家电发票（需填写购买人姓名、身份证号码等信息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，发票开具日期需在活动期间内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）、纸质交易小票、资格券核销界面截图等照片，并填妥新家电有关信息。</w:t>
      </w:r>
    </w:p>
    <w:p w14:paraId="18F1659C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</w:rPr>
        <w:t>3.报废旧家电资料。</w:t>
      </w:r>
    </w:p>
    <w:p w14:paraId="50B49CA2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上传旧家电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外观照片、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回收凭证或销售单据等资料，并填妥旧家电有关信息。</w:t>
      </w:r>
    </w:p>
    <w:p w14:paraId="78F3FDB1">
      <w:pPr>
        <w:widowControl w:val="0"/>
        <w:ind w:firstLine="608" w:firstLineChars="200"/>
        <w:jc w:val="both"/>
        <w:rPr>
          <w:rFonts w:hint="eastAsia" w:ascii="仿宋_GB2312" w:hAnsi="仿宋_GB2312" w:eastAsia="仿宋_GB2312" w:cs="仿宋_GB2312"/>
          <w:color w:val="auto"/>
          <w:spacing w:val="-6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Cs w:val="32"/>
          <w:highlight w:val="none"/>
        </w:rPr>
        <w:t>由于企业提交材料不准确、不规范、不完整等原因而导致审核不通过的，政府不予以补贴。如发现企业多个项目上传同一张产品照片，视为骗取补贴，政府不予以补贴，并取消企业参与活动资格。</w:t>
      </w:r>
    </w:p>
    <w:p w14:paraId="6CEB14B2">
      <w:pPr>
        <w:spacing w:line="600" w:lineRule="exact"/>
        <w:ind w:firstLine="632" w:firstLineChars="200"/>
        <w:rPr>
          <w:rFonts w:ascii="方正黑体_GBK" w:hAnsi="Times New Roman" w:eastAsia="方正黑体_GBK"/>
          <w:color w:val="auto"/>
          <w:highlight w:val="none"/>
        </w:rPr>
      </w:pPr>
      <w:r>
        <w:rPr>
          <w:rFonts w:hint="eastAsia" w:ascii="方正黑体_GBK" w:hAnsi="Times New Roman" w:eastAsia="方正黑体_GBK"/>
          <w:color w:val="auto"/>
          <w:highlight w:val="none"/>
        </w:rPr>
        <w:t xml:space="preserve">四、参与活动家电销售企业  </w:t>
      </w:r>
    </w:p>
    <w:p w14:paraId="3E298C73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（一）参与活动企业的基本要求。</w:t>
      </w:r>
    </w:p>
    <w:p w14:paraId="41F8C8C3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1.在江门市登记注册、取得营业执照并主营家电销售的企业，近三年内无重大违法违规和失信记录。</w:t>
      </w:r>
    </w:p>
    <w:p w14:paraId="02108456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2.具备健全的财务管理机构和财务管理制度，以及垫付资金的能力，使用对公账户进行家电销售收款。</w:t>
      </w:r>
    </w:p>
    <w:p w14:paraId="6AC780BF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3.具备资格券发放核销条件，以及与活动服务机构对接的能力，按要求布设活动所需的统一收银设备。</w:t>
      </w:r>
    </w:p>
    <w:p w14:paraId="4684C9E0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spacing w:val="-6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4.具</w:t>
      </w:r>
      <w:r>
        <w:rPr>
          <w:rFonts w:hint="eastAsia" w:ascii="仿宋_GB2312" w:hAnsi="仿宋_GB2312" w:eastAsia="仿宋_GB2312" w:cs="仿宋_GB2312"/>
          <w:color w:val="auto"/>
          <w:spacing w:val="-6"/>
          <w:highlight w:val="none"/>
        </w:rPr>
        <w:t>备家电回收能力，要把回收的废旧家电交予正规拆解企业。</w:t>
      </w:r>
    </w:p>
    <w:p w14:paraId="6BAD4FC4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5.具备开具销售发票的能力，按照含税销售价格开具销售发票，发票涉及购买人信息、新家电产品等各项信息如实、准确、规范填写。要留存活动中所有销售家电的发票、消费小票等票据备查。</w:t>
      </w:r>
    </w:p>
    <w:p w14:paraId="1F2E0764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6.具备活动宣传和处理消费者咨询、投诉的能力，要多渠道、准确地向消费者介绍政策使用情况，不得误导、欺骗消费者，不得乘机哄抬价格、变相涨价，不得存在强制捆绑、搭售等行为，不得虚假交易、骗补套补，如有关情况经查实的，取消参与活动资格。</w:t>
      </w:r>
    </w:p>
    <w:p w14:paraId="3C3A1C49">
      <w:pPr>
        <w:spacing w:line="60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7.需配合国家、省、市等各级有关部门开展补贴有关审计工作，按时按要求提交审核所需材料。</w:t>
      </w:r>
    </w:p>
    <w:p w14:paraId="5F61B713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（二）企业报名和审核程序。</w:t>
      </w:r>
    </w:p>
    <w:p w14:paraId="099A447A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由市商务局发布企业报名通知，在活动开展期间，自评符合基本要求且自愿参加活动的企业，向所在镇政府（街道办事处）提交基本资格报名材料，取得镇政府（街道办事处）审核同意推荐后，通过线上专属入口向银联商务提供活动商品信息报名材料。银联商务在收到经镇政府（街道办事处）盖章确认的企业基本资格报名材料后，安排专员对接，指导企业填报《商品信息收集表》，并协助开通资格券核销渠道和提供有关培训，确定活动参与企业名单并向社会发布。</w:t>
      </w:r>
    </w:p>
    <w:p w14:paraId="4D5FA594">
      <w:pPr>
        <w:ind w:firstLine="632" w:firstLineChars="200"/>
        <w:jc w:val="both"/>
        <w:rPr>
          <w:rFonts w:ascii="方正黑体_GBK" w:hAnsi="Times New Roman" w:eastAsia="方正黑体_GBK"/>
          <w:color w:val="auto"/>
          <w:highlight w:val="none"/>
        </w:rPr>
      </w:pPr>
      <w:r>
        <w:rPr>
          <w:rFonts w:ascii="方正黑体_GBK" w:hAnsi="Times New Roman" w:eastAsia="方正黑体_GBK"/>
          <w:color w:val="auto"/>
          <w:highlight w:val="none"/>
        </w:rPr>
        <w:t>五、资金申报审核和拨付</w:t>
      </w:r>
    </w:p>
    <w:p w14:paraId="2DBC043C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相关部门在平台后台对企业上传的补贴申请材料进行审核，审核通过的补贴名单由市商务局进行公示。经公示无异议后，由市商务局按相关程序将补贴资金发放到企业账户。任何单位和个人不得以任何理由截留、挤占、挪用补贴资金。</w:t>
      </w:r>
    </w:p>
    <w:p w14:paraId="7CEEF328">
      <w:pPr>
        <w:ind w:firstLine="632" w:firstLineChars="200"/>
        <w:jc w:val="both"/>
        <w:rPr>
          <w:rFonts w:ascii="方正黑体_GBK" w:hAnsi="Times New Roman" w:eastAsia="方正黑体_GBK"/>
          <w:color w:val="auto"/>
          <w:highlight w:val="none"/>
        </w:rPr>
      </w:pPr>
      <w:r>
        <w:rPr>
          <w:rFonts w:ascii="方正黑体_GBK" w:hAnsi="Times New Roman" w:eastAsia="方正黑体_GBK"/>
          <w:color w:val="auto"/>
          <w:highlight w:val="none"/>
        </w:rPr>
        <w:t>六、工作分工</w:t>
      </w:r>
    </w:p>
    <w:p w14:paraId="75A35C8C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（一）市商务局。统筹协调活动实施，委托第三方机构审核企业补贴申请；确认最终审核结果后向企业发放补贴资金。</w:t>
      </w:r>
    </w:p>
    <w:p w14:paraId="7AD424E7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（二）市发展改革局。会同有关部门开展资金监管、资金拨付和清算。</w:t>
      </w:r>
    </w:p>
    <w:p w14:paraId="5E0B12E1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（三）市工业和信息化局。负责发动生产制造企业参与活动。</w:t>
      </w:r>
    </w:p>
    <w:p w14:paraId="3E70F05A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（四）市财政局。负责对预算执行进行监控，配合发展改革、商务部门开展资金监管和清算。</w:t>
      </w:r>
    </w:p>
    <w:p w14:paraId="3036323D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五）市市场监管局。跟进加强家电产品质量和价格监管，强化家电产品质量监督抽查，加大缺陷产品调查和召回力度，督促企业落实质量安全主体责任，严肃查处先涨价再折扣、以次充好出售低质产品、虚标能效水效等行为，切实维护消费者合法权益。开展用能产品能效、用水产品水效的监督检查，在职责范围内对违反《能源效率标识管理办法》《水效标识管理办法》等有关规定的行为进行处罚。</w:t>
      </w:r>
    </w:p>
    <w:p w14:paraId="233C2611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（六）市税务局。负责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核对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家电销售发票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数据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。</w:t>
      </w:r>
    </w:p>
    <w:p w14:paraId="30A78435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（七）各县（市、区）商务主管部门。负责做好补贴申请项目复审工作，定期将审核情况汇总报送市商务局，对参与活动的企业进行巡查，并会同同级宣传部门和企业做好活动宣传。</w:t>
      </w:r>
    </w:p>
    <w:p w14:paraId="4EA1CD7C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（八）各镇人民政府（街道办事处）负责对报名企业的基本资格进行核查，并对经审核同意推荐报名企业活动开展情况进行现场巡查，如发现违法违规行为及时向县级商务主管部门反馈。</w:t>
      </w:r>
    </w:p>
    <w:p w14:paraId="6BEE8475">
      <w:pPr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九）银联商务股份有限公司广东分公司。负责承办本次活动，提供稳定、可靠、安全服务平台，对接省级消费品以旧换新资格核验系统，运用大数据技术监测、统计、分析资格券核销情况，采取有效手段监管参与活动的企业，防范“黄牛党”，并组织活动商家培训和政策宣传推广。</w:t>
      </w:r>
    </w:p>
    <w:p w14:paraId="10D887EB">
      <w:pPr>
        <w:widowControl w:val="0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、其他事项</w:t>
      </w:r>
    </w:p>
    <w:p w14:paraId="7BA2FD1C">
      <w:pPr>
        <w:widowControl w:val="0"/>
        <w:ind w:firstLine="608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highlight w:val="none"/>
        </w:rPr>
        <w:t>（一）如发现家电销售企业、消费者存在作弊舞弊、利用不正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当手段（包括但不限于拆单、刷单、套现、提供虚假证件或发票、虚假交易等）骗取套取补贴资金等违法违规行为，市商务局将立即组织收回已发放的补贴资金，取消销售企业和消费者参与后续活动的资格，并追究相应责任；涉嫌犯罪的，将依法移交司法机关处理。</w:t>
      </w:r>
    </w:p>
    <w:p w14:paraId="0157AAD1">
      <w:pPr>
        <w:widowControl w:val="0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（二）本方案实施后涉及的具体问题，由市商务局、市发展改革局、市工业和信息化局、市财政局、市税务局、市市场监督管理局等部门按照职责分工负责解释。</w:t>
      </w:r>
    </w:p>
    <w:p w14:paraId="55F62A9E">
      <w:pPr>
        <w:widowControl w:val="0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1.活动客服咨询电话：95534。</w:t>
      </w:r>
    </w:p>
    <w:p w14:paraId="6DA2B6FB">
      <w:pPr>
        <w:widowControl w:val="0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2.各县（市、区）商务主管部门咨询电话。蓬江区：0750-3833007；江海区：0750-3861813；新会区：0750-6631067；开平市：0750-2380795；台山市：0750-5521909；鹤山市：0750-8888692；恩平市：0750-7123980。</w:t>
      </w:r>
    </w:p>
    <w:p w14:paraId="3D5C943A">
      <w:pPr>
        <w:widowControl w:val="0"/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（三）其他未尽事宜，根据国家、省有关要求部署和实际开展情况进行补充调整。</w:t>
      </w:r>
    </w:p>
    <w:p w14:paraId="572C0D99">
      <w:pPr>
        <w:ind w:firstLine="632" w:firstLineChars="200"/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793FC786">
      <w:pPr>
        <w:ind w:left="1422" w:leftChars="200" w:hanging="790" w:hangingChars="250"/>
        <w:rPr>
          <w:rFonts w:ascii="Times New Roman" w:hAnsi="Times New Roman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附件：2024年江门市加力支持家电以旧换新促消费活动旧家电回收证明（供参考）</w:t>
      </w:r>
    </w:p>
    <w:p w14:paraId="63C81899">
      <w:pPr>
        <w:ind w:firstLine="632" w:firstLineChars="200"/>
        <w:rPr>
          <w:rFonts w:ascii="Times New Roman" w:hAnsi="Times New Roman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</w:rPr>
        <w:t xml:space="preserve"> </w:t>
      </w:r>
    </w:p>
    <w:p w14:paraId="1FE6C8BB">
      <w:pPr>
        <w:widowControl w:val="0"/>
        <w:ind w:firstLine="1580" w:firstLineChars="500"/>
        <w:jc w:val="both"/>
        <w:rPr>
          <w:rFonts w:ascii="方正仿宋_GBK" w:hAnsi="Times New Roman"/>
          <w:color w:val="auto"/>
          <w:szCs w:val="32"/>
          <w:highlight w:val="none"/>
        </w:rPr>
      </w:pPr>
      <w:r>
        <w:rPr>
          <w:rFonts w:hint="eastAsia" w:ascii="方正仿宋_GBK" w:hAnsi="Times New Roman"/>
          <w:color w:val="auto"/>
          <w:szCs w:val="32"/>
          <w:highlight w:val="none"/>
        </w:rPr>
        <w:t xml:space="preserve"> </w:t>
      </w:r>
    </w:p>
    <w:p w14:paraId="21E035DE">
      <w:pPr>
        <w:widowControl w:val="0"/>
        <w:ind w:firstLine="1580" w:firstLineChars="500"/>
        <w:jc w:val="both"/>
        <w:rPr>
          <w:rFonts w:hint="eastAsia" w:ascii="方正仿宋_GBK" w:hAnsi="Times New Roman"/>
          <w:color w:val="auto"/>
          <w:szCs w:val="32"/>
          <w:highlight w:val="none"/>
        </w:rPr>
      </w:pPr>
      <w:r>
        <w:rPr>
          <w:rFonts w:hint="eastAsia" w:ascii="方正仿宋_GBK" w:hAnsi="Times New Roman"/>
          <w:color w:val="auto"/>
          <w:szCs w:val="32"/>
          <w:highlight w:val="none"/>
        </w:rPr>
        <w:t xml:space="preserve"> </w:t>
      </w:r>
    </w:p>
    <w:p w14:paraId="49879779">
      <w:pPr>
        <w:widowControl w:val="0"/>
        <w:ind w:firstLine="1580" w:firstLineChars="500"/>
        <w:jc w:val="both"/>
        <w:rPr>
          <w:rFonts w:hint="eastAsia" w:ascii="方正仿宋_GBK" w:hAnsi="Times New Roman"/>
          <w:color w:val="auto"/>
          <w:szCs w:val="32"/>
          <w:highlight w:val="none"/>
        </w:rPr>
      </w:pPr>
    </w:p>
    <w:p w14:paraId="1BB9904D">
      <w:pPr>
        <w:widowControl w:val="0"/>
        <w:ind w:firstLine="1580" w:firstLineChars="500"/>
        <w:jc w:val="both"/>
        <w:rPr>
          <w:rFonts w:hint="eastAsia" w:ascii="方正仿宋_GBK" w:hAnsi="Times New Roman"/>
          <w:color w:val="auto"/>
          <w:szCs w:val="32"/>
          <w:highlight w:val="none"/>
        </w:rPr>
      </w:pPr>
    </w:p>
    <w:p w14:paraId="08513E95">
      <w:pPr>
        <w:widowControl w:val="0"/>
        <w:jc w:val="both"/>
        <w:rPr>
          <w:rFonts w:ascii="方正黑体_GBK" w:hAnsi="Times New Roman" w:eastAsia="方正黑体_GBK"/>
          <w:color w:val="auto"/>
          <w:szCs w:val="32"/>
          <w:highlight w:val="none"/>
        </w:rPr>
      </w:pPr>
      <w:r>
        <w:rPr>
          <w:rFonts w:hint="eastAsia" w:ascii="方正黑体_GBK" w:hAnsi="Times New Roman" w:eastAsia="方正黑体_GBK"/>
          <w:color w:val="auto"/>
          <w:szCs w:val="32"/>
          <w:highlight w:val="none"/>
        </w:rPr>
        <w:t>附件</w:t>
      </w:r>
    </w:p>
    <w:p w14:paraId="20C0955B">
      <w:pPr>
        <w:widowControl w:val="0"/>
        <w:jc w:val="both"/>
        <w:rPr>
          <w:rFonts w:ascii="方正黑体_GBK" w:hAnsi="Times New Roman" w:eastAsia="方正黑体_GBK"/>
          <w:color w:val="auto"/>
          <w:szCs w:val="32"/>
          <w:highlight w:val="none"/>
        </w:rPr>
      </w:pPr>
    </w:p>
    <w:p w14:paraId="25617EB1">
      <w:pPr>
        <w:widowControl w:val="0"/>
        <w:spacing w:line="600" w:lineRule="exact"/>
        <w:jc w:val="center"/>
        <w:rPr>
          <w:rFonts w:ascii="方正小标宋简体" w:hAnsi="Times New Roman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Times New Roman" w:eastAsia="方正小标宋简体"/>
          <w:color w:val="auto"/>
          <w:sz w:val="44"/>
          <w:szCs w:val="44"/>
          <w:highlight w:val="none"/>
        </w:rPr>
        <w:t>2024年江门市加力支持家电以旧换新</w:t>
      </w:r>
    </w:p>
    <w:p w14:paraId="583AC86E">
      <w:pPr>
        <w:widowControl w:val="0"/>
        <w:spacing w:line="600" w:lineRule="exact"/>
        <w:jc w:val="center"/>
        <w:rPr>
          <w:rFonts w:ascii="Times New Roman" w:hAnsi="Times New Roman"/>
          <w:color w:val="auto"/>
          <w:szCs w:val="32"/>
          <w:highlight w:val="none"/>
        </w:rPr>
      </w:pPr>
      <w:r>
        <w:rPr>
          <w:rFonts w:hint="eastAsia" w:ascii="方正小标宋简体" w:hAnsi="Times New Roman" w:eastAsia="方正小标宋简体"/>
          <w:color w:val="auto"/>
          <w:sz w:val="44"/>
          <w:szCs w:val="44"/>
          <w:highlight w:val="none"/>
        </w:rPr>
        <w:t>促消费活动旧家电回收证明</w:t>
      </w:r>
    </w:p>
    <w:p w14:paraId="0C3EEFCA">
      <w:pPr>
        <w:widowControl w:val="0"/>
        <w:spacing w:line="700" w:lineRule="exact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编号：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                </w:t>
      </w:r>
    </w:p>
    <w:p w14:paraId="49600C03">
      <w:pPr>
        <w:widowControl w:val="0"/>
        <w:spacing w:before="289" w:beforeLines="50" w:line="700" w:lineRule="exact"/>
        <w:ind w:firstLine="632" w:firstLineChars="200"/>
        <w:jc w:val="both"/>
        <w:rPr>
          <w:rFonts w:hint="eastAsia" w:ascii="仿宋_GB2312" w:hAnsi="仿宋_GB2312" w:eastAsia="仿宋_GB2312" w:cs="仿宋_GB2312"/>
          <w:color w:val="auto"/>
          <w:spacing w:val="6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兹收到姓名：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，身份证号码：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，联系电话：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，于2024年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日向我司交来旧家电【冰箱、洗衣机、电视、空调、电脑、</w:t>
      </w:r>
      <w:r>
        <w:rPr>
          <w:rFonts w:hint="eastAsia" w:ascii="仿宋_GB2312" w:hAnsi="仿宋_GB2312" w:eastAsia="仿宋_GB2312" w:cs="仿宋_GB2312"/>
          <w:color w:val="auto"/>
          <w:spacing w:val="6"/>
          <w:szCs w:val="32"/>
          <w:highlight w:val="none"/>
        </w:rPr>
        <w:t>热水器、家用灶具、吸油烟机】1台，特此证明</w:t>
      </w:r>
      <w:r>
        <w:rPr>
          <w:rFonts w:hint="eastAsia" w:ascii="仿宋_GB2312" w:hAnsi="仿宋_GB2312" w:eastAsia="仿宋_GB2312" w:cs="仿宋_GB2312"/>
          <w:color w:val="auto"/>
          <w:spacing w:val="6"/>
          <w:szCs w:val="32"/>
          <w:highlight w:val="none"/>
          <w:lang w:eastAsia="zh-CN"/>
        </w:rPr>
        <w:t>。</w:t>
      </w:r>
    </w:p>
    <w:p w14:paraId="76353A2E">
      <w:pPr>
        <w:widowControl w:val="0"/>
        <w:spacing w:before="289" w:beforeLines="50" w:line="700" w:lineRule="exact"/>
        <w:ind w:firstLine="656" w:firstLineChars="200"/>
        <w:jc w:val="both"/>
        <w:rPr>
          <w:rFonts w:hint="eastAsia" w:ascii="仿宋_GB2312" w:hAnsi="仿宋_GB2312" w:eastAsia="仿宋_GB2312" w:cs="仿宋_GB2312"/>
          <w:color w:val="auto"/>
          <w:spacing w:val="6"/>
          <w:szCs w:val="32"/>
          <w:highlight w:val="none"/>
          <w:lang w:eastAsia="zh-CN"/>
        </w:rPr>
      </w:pPr>
    </w:p>
    <w:p w14:paraId="0F5B627C">
      <w:pPr>
        <w:widowControl w:val="0"/>
        <w:spacing w:line="700" w:lineRule="exact"/>
        <w:ind w:firstLine="2212" w:firstLineChars="7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 xml:space="preserve">回收单位名称（加盖公章）：               </w:t>
      </w:r>
    </w:p>
    <w:p w14:paraId="4B7E5318">
      <w:pPr>
        <w:widowControl w:val="0"/>
        <w:spacing w:line="700" w:lineRule="exact"/>
        <w:ind w:firstLine="2212" w:firstLineChars="7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 xml:space="preserve">回收单位联系电话：           </w:t>
      </w:r>
      <w:bookmarkStart w:id="0" w:name="_GoBack"/>
      <w:bookmarkEnd w:id="0"/>
    </w:p>
    <w:p w14:paraId="5CC09547">
      <w:pPr>
        <w:widowControl w:val="0"/>
        <w:spacing w:line="700" w:lineRule="exact"/>
        <w:ind w:firstLine="2212" w:firstLineChars="700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 xml:space="preserve">消费者（签名）：           </w:t>
      </w:r>
    </w:p>
    <w:p w14:paraId="6E119643">
      <w:pPr>
        <w:widowControl w:val="0"/>
        <w:spacing w:line="700" w:lineRule="exact"/>
        <w:jc w:val="both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年   月    日</w:t>
      </w:r>
    </w:p>
    <w:p w14:paraId="5E64F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注意事项：</w:t>
      </w:r>
    </w:p>
    <w:p w14:paraId="7E43C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1.本证明一式两份，回收单位、消费者各执一份，消费者保留《旧家电回收证明》，并需拍摄旧家电照片作为凭证。</w:t>
      </w:r>
    </w:p>
    <w:p w14:paraId="1FE85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.编号由回收企业自行编制，按照企业字号拼音首字母加阿拉伯数字五位数，例：俐通环保，LTHB00001，LTHB00002，LTHB00003……</w:t>
      </w:r>
    </w:p>
    <w:sectPr>
      <w:footerReference r:id="rId4" w:type="default"/>
      <w:headerReference r:id="rId3" w:type="even"/>
      <w:footerReference r:id="rId5" w:type="even"/>
      <w:pgSz w:w="11906" w:h="16838"/>
      <w:pgMar w:top="2098" w:right="1474" w:bottom="1985" w:left="1588" w:header="1701" w:footer="1531" w:gutter="0"/>
      <w:pgNumType w:start="3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22AEC">
    <w:pPr>
      <w:pStyle w:val="6"/>
      <w:framePr w:wrap="around" w:vAnchor="text" w:hAnchor="margin" w:xAlign="outside" w:y="1"/>
      <w:rPr>
        <w:rStyle w:val="15"/>
        <w:rFonts w:asciiTheme="minorEastAsia" w:hAnsiTheme="minorEastAsia" w:eastAsiaTheme="minorEastAsia"/>
        <w:sz w:val="24"/>
        <w:szCs w:val="24"/>
      </w:rPr>
    </w:pPr>
    <w:r>
      <w:rPr>
        <w:rStyle w:val="15"/>
        <w:rFonts w:hint="eastAsia" w:asciiTheme="minorEastAsia" w:hAnsiTheme="minorEastAsia" w:eastAsiaTheme="minorEastAsia"/>
        <w:sz w:val="24"/>
        <w:szCs w:val="24"/>
      </w:rPr>
      <w:t xml:space="preserve">— </w:t>
    </w:r>
    <w:r>
      <w:rPr>
        <w:rStyle w:val="15"/>
        <w:rFonts w:hint="eastAsia" w:asciiTheme="minorEastAsia" w:hAnsiTheme="minorEastAsia" w:eastAsiaTheme="minorEastAsia"/>
        <w:sz w:val="24"/>
        <w:szCs w:val="24"/>
      </w:rPr>
      <w:fldChar w:fldCharType="begin"/>
    </w:r>
    <w:r>
      <w:rPr>
        <w:rStyle w:val="15"/>
        <w:rFonts w:hint="eastAsia" w:asciiTheme="minorEastAsia" w:hAnsiTheme="minorEastAsia" w:eastAsiaTheme="minorEastAsia"/>
        <w:sz w:val="24"/>
        <w:szCs w:val="24"/>
      </w:rPr>
      <w:instrText xml:space="preserve">PAGE  </w:instrText>
    </w:r>
    <w:r>
      <w:rPr>
        <w:rStyle w:val="15"/>
        <w:rFonts w:hint="eastAsia" w:asciiTheme="minorEastAsia" w:hAnsiTheme="minorEastAsia" w:eastAsiaTheme="minorEastAsia"/>
        <w:sz w:val="24"/>
        <w:szCs w:val="24"/>
      </w:rPr>
      <w:fldChar w:fldCharType="separate"/>
    </w:r>
    <w:r>
      <w:rPr>
        <w:rStyle w:val="15"/>
        <w:rFonts w:asciiTheme="minorEastAsia" w:hAnsiTheme="minorEastAsia" w:eastAsiaTheme="minorEastAsia"/>
        <w:sz w:val="24"/>
        <w:szCs w:val="24"/>
      </w:rPr>
      <w:t>10</w:t>
    </w:r>
    <w:r>
      <w:rPr>
        <w:rStyle w:val="15"/>
        <w:rFonts w:hint="eastAsia" w:asciiTheme="minorEastAsia" w:hAnsiTheme="minorEastAsia" w:eastAsiaTheme="minorEastAsia"/>
        <w:sz w:val="24"/>
        <w:szCs w:val="24"/>
      </w:rPr>
      <w:fldChar w:fldCharType="end"/>
    </w:r>
    <w:r>
      <w:rPr>
        <w:rStyle w:val="15"/>
        <w:rFonts w:hint="eastAsia" w:asciiTheme="minorEastAsia" w:hAnsiTheme="minorEastAsia" w:eastAsiaTheme="minorEastAsia"/>
        <w:sz w:val="24"/>
        <w:szCs w:val="24"/>
      </w:rPr>
      <w:t xml:space="preserve"> —</w:t>
    </w:r>
  </w:p>
  <w:p w14:paraId="267AFAAC">
    <w:pPr>
      <w:pStyle w:val="6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A9157">
    <w:pPr>
      <w:pStyle w:val="6"/>
      <w:framePr w:wrap="around" w:vAnchor="text" w:hAnchor="margin" w:xAlign="outside" w:y="1"/>
      <w:rPr>
        <w:rStyle w:val="15"/>
        <w:rFonts w:hint="eastAsia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45A18D1C">
    <w:pPr>
      <w:pStyle w:val="6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0239F">
    <w:pPr>
      <w:pStyle w:val="7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xZjhmMGI4OThjYWIwMTFhNGQ5NTIyOWJhOTRmZWEifQ=="/>
  </w:docVars>
  <w:rsids>
    <w:rsidRoot w:val="1206569D"/>
    <w:rsid w:val="0000053C"/>
    <w:rsid w:val="000044B7"/>
    <w:rsid w:val="000251F9"/>
    <w:rsid w:val="00027AC2"/>
    <w:rsid w:val="00037FDF"/>
    <w:rsid w:val="00053BB5"/>
    <w:rsid w:val="00053DA6"/>
    <w:rsid w:val="00053E55"/>
    <w:rsid w:val="0006387B"/>
    <w:rsid w:val="00063A27"/>
    <w:rsid w:val="00063E71"/>
    <w:rsid w:val="00072CB3"/>
    <w:rsid w:val="00085B2D"/>
    <w:rsid w:val="0009332A"/>
    <w:rsid w:val="000A056B"/>
    <w:rsid w:val="00110000"/>
    <w:rsid w:val="00117F52"/>
    <w:rsid w:val="00135827"/>
    <w:rsid w:val="001379CE"/>
    <w:rsid w:val="00141532"/>
    <w:rsid w:val="001437F1"/>
    <w:rsid w:val="001438D9"/>
    <w:rsid w:val="00151CC6"/>
    <w:rsid w:val="00162DD8"/>
    <w:rsid w:val="00182F18"/>
    <w:rsid w:val="001C7C36"/>
    <w:rsid w:val="001F5FA1"/>
    <w:rsid w:val="0022144D"/>
    <w:rsid w:val="00235039"/>
    <w:rsid w:val="00253BAF"/>
    <w:rsid w:val="00273986"/>
    <w:rsid w:val="002B2475"/>
    <w:rsid w:val="002C3172"/>
    <w:rsid w:val="002C3778"/>
    <w:rsid w:val="002C5DFA"/>
    <w:rsid w:val="002D311E"/>
    <w:rsid w:val="002D373F"/>
    <w:rsid w:val="003069BF"/>
    <w:rsid w:val="00306C06"/>
    <w:rsid w:val="00315D6D"/>
    <w:rsid w:val="003237B2"/>
    <w:rsid w:val="003366B1"/>
    <w:rsid w:val="00355307"/>
    <w:rsid w:val="003557AC"/>
    <w:rsid w:val="00380C9B"/>
    <w:rsid w:val="003827BA"/>
    <w:rsid w:val="00385F0A"/>
    <w:rsid w:val="003A2486"/>
    <w:rsid w:val="003A69F7"/>
    <w:rsid w:val="003C0DB5"/>
    <w:rsid w:val="003E0900"/>
    <w:rsid w:val="00404CF5"/>
    <w:rsid w:val="004314FD"/>
    <w:rsid w:val="0048185F"/>
    <w:rsid w:val="004901FC"/>
    <w:rsid w:val="004E7CC1"/>
    <w:rsid w:val="00502407"/>
    <w:rsid w:val="00517AA5"/>
    <w:rsid w:val="00534593"/>
    <w:rsid w:val="00555F8A"/>
    <w:rsid w:val="00566C0B"/>
    <w:rsid w:val="0058665B"/>
    <w:rsid w:val="005A04E6"/>
    <w:rsid w:val="005B159B"/>
    <w:rsid w:val="005B6A33"/>
    <w:rsid w:val="005C002A"/>
    <w:rsid w:val="005D45C6"/>
    <w:rsid w:val="005E6666"/>
    <w:rsid w:val="006069CB"/>
    <w:rsid w:val="00611AFD"/>
    <w:rsid w:val="0062004F"/>
    <w:rsid w:val="00634291"/>
    <w:rsid w:val="0066172A"/>
    <w:rsid w:val="00661EA2"/>
    <w:rsid w:val="00670E28"/>
    <w:rsid w:val="0067127E"/>
    <w:rsid w:val="00691EBB"/>
    <w:rsid w:val="006C140A"/>
    <w:rsid w:val="006C505D"/>
    <w:rsid w:val="006E71BC"/>
    <w:rsid w:val="006E7FC9"/>
    <w:rsid w:val="00717DA6"/>
    <w:rsid w:val="00745F4B"/>
    <w:rsid w:val="00750F7A"/>
    <w:rsid w:val="00753B0C"/>
    <w:rsid w:val="00761422"/>
    <w:rsid w:val="00784634"/>
    <w:rsid w:val="007A0257"/>
    <w:rsid w:val="007A3C5C"/>
    <w:rsid w:val="007B67B1"/>
    <w:rsid w:val="007E7402"/>
    <w:rsid w:val="007F1978"/>
    <w:rsid w:val="00811815"/>
    <w:rsid w:val="0081262F"/>
    <w:rsid w:val="00816279"/>
    <w:rsid w:val="00821AEB"/>
    <w:rsid w:val="00826432"/>
    <w:rsid w:val="00834FAE"/>
    <w:rsid w:val="00842A19"/>
    <w:rsid w:val="00855BC8"/>
    <w:rsid w:val="00872D9E"/>
    <w:rsid w:val="008839C7"/>
    <w:rsid w:val="008A2623"/>
    <w:rsid w:val="008A64DB"/>
    <w:rsid w:val="008D0AF3"/>
    <w:rsid w:val="008E5F15"/>
    <w:rsid w:val="008F4F13"/>
    <w:rsid w:val="008F7993"/>
    <w:rsid w:val="00913E40"/>
    <w:rsid w:val="009150B0"/>
    <w:rsid w:val="009215C1"/>
    <w:rsid w:val="0093512F"/>
    <w:rsid w:val="00947297"/>
    <w:rsid w:val="009C375F"/>
    <w:rsid w:val="00A2221B"/>
    <w:rsid w:val="00A44636"/>
    <w:rsid w:val="00A7194E"/>
    <w:rsid w:val="00A9207A"/>
    <w:rsid w:val="00A97AF8"/>
    <w:rsid w:val="00AA3D31"/>
    <w:rsid w:val="00AB169B"/>
    <w:rsid w:val="00AB20E5"/>
    <w:rsid w:val="00AC7E3F"/>
    <w:rsid w:val="00AE1E14"/>
    <w:rsid w:val="00AF18B1"/>
    <w:rsid w:val="00B167E8"/>
    <w:rsid w:val="00B63F73"/>
    <w:rsid w:val="00B7335C"/>
    <w:rsid w:val="00B8168C"/>
    <w:rsid w:val="00BD50F3"/>
    <w:rsid w:val="00BE29BD"/>
    <w:rsid w:val="00BE60AD"/>
    <w:rsid w:val="00BF6663"/>
    <w:rsid w:val="00C12092"/>
    <w:rsid w:val="00C1779A"/>
    <w:rsid w:val="00C40678"/>
    <w:rsid w:val="00C423CD"/>
    <w:rsid w:val="00C5309C"/>
    <w:rsid w:val="00C542AE"/>
    <w:rsid w:val="00CB2709"/>
    <w:rsid w:val="00CC28E3"/>
    <w:rsid w:val="00CE3298"/>
    <w:rsid w:val="00D06466"/>
    <w:rsid w:val="00D4259C"/>
    <w:rsid w:val="00D44171"/>
    <w:rsid w:val="00D60DA1"/>
    <w:rsid w:val="00D67DE8"/>
    <w:rsid w:val="00E200FD"/>
    <w:rsid w:val="00E228EA"/>
    <w:rsid w:val="00E44826"/>
    <w:rsid w:val="00E73CA6"/>
    <w:rsid w:val="00E97790"/>
    <w:rsid w:val="00EA12F6"/>
    <w:rsid w:val="00ED1644"/>
    <w:rsid w:val="00F20A32"/>
    <w:rsid w:val="00F23F96"/>
    <w:rsid w:val="00F252A9"/>
    <w:rsid w:val="00F34F8C"/>
    <w:rsid w:val="00F57F6B"/>
    <w:rsid w:val="00F724B4"/>
    <w:rsid w:val="00F816AF"/>
    <w:rsid w:val="00F851EC"/>
    <w:rsid w:val="00F93821"/>
    <w:rsid w:val="1206569D"/>
    <w:rsid w:val="176E4516"/>
    <w:rsid w:val="1D236A6E"/>
    <w:rsid w:val="1EBDC069"/>
    <w:rsid w:val="242F2018"/>
    <w:rsid w:val="25EB9757"/>
    <w:rsid w:val="4DF906EC"/>
    <w:rsid w:val="5AD7313E"/>
    <w:rsid w:val="5CF15F7A"/>
    <w:rsid w:val="5EFC3120"/>
    <w:rsid w:val="65ECA346"/>
    <w:rsid w:val="69D7DA6A"/>
    <w:rsid w:val="759B5A3F"/>
    <w:rsid w:val="7BE7B351"/>
    <w:rsid w:val="7E7A7BEE"/>
    <w:rsid w:val="7F7C429F"/>
    <w:rsid w:val="A573DB8C"/>
    <w:rsid w:val="DBEFE82D"/>
    <w:rsid w:val="DEBB402B"/>
    <w:rsid w:val="F773CA78"/>
    <w:rsid w:val="F89354AE"/>
    <w:rsid w:val="FBFF4674"/>
    <w:rsid w:val="FEFE5BBF"/>
    <w:rsid w:val="FF5D6CC6"/>
    <w:rsid w:val="FF7F1F96"/>
    <w:rsid w:val="FFFD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1"/>
    <w:qFormat/>
    <w:uiPriority w:val="0"/>
    <w:pPr>
      <w:spacing w:after="120"/>
    </w:pPr>
    <w:rPr>
      <w:rFonts w:ascii="Times New Roman" w:hAnsi="Times New Roman" w:eastAsia="仿宋_GB2312"/>
      <w:szCs w:val="32"/>
    </w:rPr>
  </w:style>
  <w:style w:type="paragraph" w:styleId="3">
    <w:name w:val="Body Text Indent"/>
    <w:basedOn w:val="1"/>
    <w:link w:val="17"/>
    <w:qFormat/>
    <w:uiPriority w:val="0"/>
    <w:pPr>
      <w:spacing w:after="120"/>
      <w:ind w:left="420" w:leftChars="200"/>
    </w:pPr>
  </w:style>
  <w:style w:type="paragraph" w:styleId="4">
    <w:name w:val="Date"/>
    <w:basedOn w:val="1"/>
    <w:next w:val="1"/>
    <w:link w:val="19"/>
    <w:qFormat/>
    <w:uiPriority w:val="0"/>
    <w:pPr>
      <w:ind w:left="100" w:leftChars="25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eastAsia="仿宋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"/>
      <w:sz w:val="18"/>
      <w:szCs w:val="18"/>
    </w:rPr>
  </w:style>
  <w:style w:type="paragraph" w:styleId="8">
    <w:name w:val="Body Text 2"/>
    <w:basedOn w:val="1"/>
    <w:link w:val="22"/>
    <w:qFormat/>
    <w:uiPriority w:val="0"/>
    <w:pPr>
      <w:spacing w:after="120" w:line="480" w:lineRule="auto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Title"/>
    <w:basedOn w:val="1"/>
    <w:next w:val="1"/>
    <w:link w:val="23"/>
    <w:qFormat/>
    <w:uiPriority w:val="10"/>
    <w:pPr>
      <w:widowControl w:val="0"/>
      <w:jc w:val="center"/>
      <w:outlineLvl w:val="0"/>
    </w:pPr>
    <w:rPr>
      <w:rFonts w:ascii="Arial" w:hAnsi="Arial" w:eastAsiaTheme="minorEastAsia" w:cstheme="minorBidi"/>
      <w:b/>
      <w:szCs w:val="24"/>
    </w:rPr>
  </w:style>
  <w:style w:type="paragraph" w:styleId="11">
    <w:name w:val="Body Text First Indent 2"/>
    <w:basedOn w:val="3"/>
    <w:link w:val="18"/>
    <w:qFormat/>
    <w:uiPriority w:val="99"/>
    <w:pPr>
      <w:spacing w:after="0"/>
      <w:ind w:left="0" w:leftChars="0" w:firstLine="640"/>
    </w:pPr>
    <w:rPr>
      <w:rFonts w:ascii="Times New Roman" w:hAnsi="Times New Roman" w:eastAsia="宋体" w:cs="Calibri"/>
      <w:szCs w:val="21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paragraph" w:styleId="16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7">
    <w:name w:val="正文文本缩进 Char"/>
    <w:basedOn w:val="14"/>
    <w:link w:val="3"/>
    <w:qFormat/>
    <w:uiPriority w:val="0"/>
    <w:rPr>
      <w:rFonts w:ascii="Calibri" w:hAnsi="Calibri" w:eastAsia="方正仿宋_GBK" w:cs="Times New Roman"/>
      <w:kern w:val="2"/>
      <w:sz w:val="32"/>
      <w:szCs w:val="22"/>
    </w:rPr>
  </w:style>
  <w:style w:type="character" w:customStyle="1" w:styleId="18">
    <w:name w:val="正文首行缩进 2 Char"/>
    <w:basedOn w:val="17"/>
    <w:link w:val="11"/>
    <w:qFormat/>
    <w:uiPriority w:val="99"/>
    <w:rPr>
      <w:rFonts w:ascii="Times New Roman" w:hAnsi="Times New Roman" w:eastAsia="宋体" w:cs="Calibri"/>
      <w:kern w:val="2"/>
      <w:sz w:val="32"/>
      <w:szCs w:val="21"/>
    </w:rPr>
  </w:style>
  <w:style w:type="character" w:customStyle="1" w:styleId="19">
    <w:name w:val="日期 Char"/>
    <w:basedOn w:val="14"/>
    <w:link w:val="4"/>
    <w:qFormat/>
    <w:uiPriority w:val="0"/>
    <w:rPr>
      <w:rFonts w:ascii="Calibri" w:hAnsi="Calibri" w:eastAsia="方正仿宋_GBK" w:cs="Times New Roman"/>
      <w:kern w:val="2"/>
      <w:sz w:val="32"/>
      <w:szCs w:val="22"/>
    </w:rPr>
  </w:style>
  <w:style w:type="character" w:customStyle="1" w:styleId="20">
    <w:name w:val="批注框文本 Char"/>
    <w:basedOn w:val="14"/>
    <w:link w:val="5"/>
    <w:qFormat/>
    <w:uiPriority w:val="0"/>
    <w:rPr>
      <w:rFonts w:ascii="Calibri" w:hAnsi="Calibri" w:eastAsia="方正仿宋_GBK" w:cs="Times New Roman"/>
      <w:kern w:val="2"/>
      <w:sz w:val="18"/>
      <w:szCs w:val="18"/>
    </w:rPr>
  </w:style>
  <w:style w:type="character" w:customStyle="1" w:styleId="21">
    <w:name w:val="正文文本 Char"/>
    <w:basedOn w:val="14"/>
    <w:link w:val="2"/>
    <w:qFormat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customStyle="1" w:styleId="22">
    <w:name w:val="正文文本 2 Char"/>
    <w:basedOn w:val="14"/>
    <w:link w:val="8"/>
    <w:qFormat/>
    <w:uiPriority w:val="0"/>
    <w:rPr>
      <w:rFonts w:ascii="Calibri" w:hAnsi="Calibri" w:eastAsia="方正仿宋_GBK" w:cs="Times New Roman"/>
      <w:kern w:val="2"/>
      <w:sz w:val="32"/>
      <w:szCs w:val="22"/>
    </w:rPr>
  </w:style>
  <w:style w:type="character" w:customStyle="1" w:styleId="23">
    <w:name w:val="标题 Char"/>
    <w:basedOn w:val="14"/>
    <w:link w:val="10"/>
    <w:qFormat/>
    <w:uiPriority w:val="10"/>
    <w:rPr>
      <w:rFonts w:ascii="Arial" w:hAnsi="Arial"/>
      <w:b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3387</Words>
  <Characters>3552</Characters>
  <Lines>25</Lines>
  <Paragraphs>7</Paragraphs>
  <TotalTime>31</TotalTime>
  <ScaleCrop>false</ScaleCrop>
  <LinksUpToDate>false</LinksUpToDate>
  <CharactersWithSpaces>3710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2024-09-11T01:09:00Z</dcterms:created>
  <dc:creator>张皓宇</dc:creator>
  <cp:lastModifiedBy>Administrator</cp:lastModifiedBy>
  <cp:lastPrinted>2024-09-11T02:44:00Z</cp:lastPrinted>
  <dcterms:modified xsi:type="dcterms:W3CDTF">2024-09-13T01:28:03Z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71EE6BD77BB808A41A64E2664D5B3EF5</vt:lpwstr>
  </property>
</Properties>
</file>