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方正小标宋简体" w:eastAsia="方正小标宋简体"/>
          <w:b w:val="0"/>
          <w:sz w:val="40"/>
        </w:rPr>
      </w:pPr>
      <w:bookmarkStart w:id="0" w:name="_Toc24724729"/>
      <w:r>
        <w:rPr>
          <w:rFonts w:hint="eastAsia" w:ascii="方正小标宋简体" w:eastAsia="方正小标宋简体"/>
          <w:b w:val="0"/>
          <w:sz w:val="40"/>
        </w:rPr>
        <w:t>（二十</w:t>
      </w:r>
      <w:r>
        <w:rPr>
          <w:rFonts w:hint="eastAsia" w:ascii="方正小标宋简体" w:eastAsia="方正小标宋简体"/>
          <w:b w:val="0"/>
          <w:sz w:val="40"/>
          <w:lang w:val="en-US" w:eastAsia="zh-CN"/>
        </w:rPr>
        <w:t>四</w:t>
      </w:r>
      <w:r>
        <w:rPr>
          <w:rFonts w:hint="eastAsia" w:ascii="方正小标宋简体" w:eastAsia="方正小标宋简体"/>
          <w:b w:val="0"/>
          <w:sz w:val="40"/>
        </w:rPr>
        <w:t>）</w:t>
      </w:r>
      <w:bookmarkEnd w:id="0"/>
      <w:r>
        <w:rPr>
          <w:rFonts w:hint="eastAsia" w:ascii="方正小标宋简体" w:eastAsia="方正小标宋简体"/>
          <w:b w:val="0"/>
          <w:sz w:val="40"/>
        </w:rPr>
        <w:t>税收管理领域基层政务公开标准目录</w:t>
      </w:r>
    </w:p>
    <w:tbl>
      <w:tblPr>
        <w:tblStyle w:val="6"/>
        <w:tblW w:w="1510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3"/>
        <w:gridCol w:w="703"/>
        <w:gridCol w:w="2462"/>
        <w:gridCol w:w="2126"/>
        <w:gridCol w:w="1007"/>
        <w:gridCol w:w="694"/>
        <w:gridCol w:w="2977"/>
        <w:gridCol w:w="563"/>
        <w:gridCol w:w="693"/>
        <w:gridCol w:w="537"/>
        <w:gridCol w:w="703"/>
        <w:gridCol w:w="70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527" w:type="dxa"/>
            <w:vMerge w:val="restart"/>
            <w:vAlign w:val="center"/>
          </w:tcPr>
          <w:p>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140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6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07"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时限</w:t>
            </w:r>
          </w:p>
        </w:tc>
        <w:tc>
          <w:tcPr>
            <w:tcW w:w="69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97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0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Merge w:val="continue"/>
            <w:vAlign w:val="center"/>
          </w:tcPr>
          <w:p>
            <w:pPr>
              <w:widowControl/>
              <w:jc w:val="left"/>
              <w:rPr>
                <w:rFonts w:ascii="Times New Roman" w:hAnsi="Times New Roman"/>
                <w:color w:val="000000"/>
                <w:kern w:val="0"/>
                <w:sz w:val="22"/>
              </w:rPr>
            </w:pPr>
          </w:p>
        </w:tc>
        <w:tc>
          <w:tcPr>
            <w:tcW w:w="7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462"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color w:val="000000"/>
                <w:kern w:val="0"/>
                <w:sz w:val="22"/>
              </w:rPr>
            </w:pPr>
          </w:p>
        </w:tc>
        <w:tc>
          <w:tcPr>
            <w:tcW w:w="1007" w:type="dxa"/>
            <w:vMerge w:val="continue"/>
            <w:vAlign w:val="center"/>
          </w:tcPr>
          <w:p>
            <w:pPr>
              <w:widowControl/>
              <w:jc w:val="left"/>
              <w:rPr>
                <w:rFonts w:ascii="黑体" w:hAnsi="宋体" w:eastAsia="黑体" w:cs="宋体"/>
                <w:color w:val="000000"/>
                <w:kern w:val="0"/>
                <w:sz w:val="22"/>
              </w:rPr>
            </w:pPr>
          </w:p>
        </w:tc>
        <w:tc>
          <w:tcPr>
            <w:tcW w:w="694" w:type="dxa"/>
            <w:vMerge w:val="continue"/>
            <w:vAlign w:val="center"/>
          </w:tcPr>
          <w:p>
            <w:pPr>
              <w:widowControl/>
              <w:jc w:val="left"/>
              <w:rPr>
                <w:rFonts w:ascii="黑体" w:hAnsi="宋体" w:eastAsia="黑体" w:cs="宋体"/>
                <w:color w:val="000000"/>
                <w:kern w:val="0"/>
                <w:sz w:val="22"/>
              </w:rPr>
            </w:pPr>
          </w:p>
        </w:tc>
        <w:tc>
          <w:tcPr>
            <w:tcW w:w="2977" w:type="dxa"/>
            <w:vMerge w:val="continue"/>
            <w:vAlign w:val="center"/>
          </w:tcPr>
          <w:p>
            <w:pPr>
              <w:widowControl/>
              <w:jc w:val="left"/>
              <w:rPr>
                <w:rFonts w:ascii="黑体" w:hAnsi="宋体" w:eastAsia="黑体" w:cs="宋体"/>
                <w:kern w:val="0"/>
                <w:sz w:val="22"/>
              </w:rPr>
            </w:pPr>
          </w:p>
        </w:tc>
        <w:tc>
          <w:tcPr>
            <w:tcW w:w="56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3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527" w:type="dxa"/>
            <w:vAlign w:val="center"/>
          </w:tcPr>
          <w:p>
            <w:pPr>
              <w:widowControl/>
              <w:jc w:val="center"/>
              <w:rPr>
                <w:rFonts w:ascii="仿宋" w:hAnsi="仿宋" w:eastAsia="仿宋"/>
                <w:color w:val="000000"/>
                <w:sz w:val="18"/>
                <w:szCs w:val="18"/>
              </w:rPr>
            </w:pPr>
            <w:r>
              <w:rPr>
                <w:rFonts w:ascii="仿宋" w:hAnsi="仿宋" w:eastAsia="仿宋"/>
                <w:color w:val="000000"/>
                <w:sz w:val="18"/>
                <w:szCs w:val="18"/>
              </w:rPr>
              <w:t>1</w:t>
            </w:r>
          </w:p>
        </w:tc>
        <w:tc>
          <w:tcPr>
            <w:tcW w:w="703" w:type="dxa"/>
            <w:vMerge w:val="restart"/>
            <w:vAlign w:val="center"/>
          </w:tcPr>
          <w:p>
            <w:pPr>
              <w:widowControl/>
              <w:jc w:val="left"/>
              <w:rPr>
                <w:rFonts w:hint="eastAsia" w:ascii="仿宋" w:hAnsi="仿宋" w:eastAsia="仿宋"/>
                <w:color w:val="000000"/>
                <w:sz w:val="18"/>
                <w:szCs w:val="18"/>
              </w:rPr>
            </w:pPr>
            <w:r>
              <w:rPr>
                <w:rFonts w:hint="eastAsia" w:ascii="仿宋" w:hAnsi="仿宋" w:eastAsia="仿宋"/>
                <w:color w:val="000000"/>
                <w:sz w:val="18"/>
                <w:szCs w:val="18"/>
              </w:rPr>
              <w:t>机构概况</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主要职责</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机构职能</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8" w:hRule="atLeast"/>
        </w:trPr>
        <w:tc>
          <w:tcPr>
            <w:tcW w:w="527" w:type="dxa"/>
            <w:vAlign w:val="center"/>
          </w:tcPr>
          <w:p>
            <w:pPr>
              <w:widowControl/>
              <w:jc w:val="center"/>
              <w:rPr>
                <w:rFonts w:ascii="仿宋" w:hAnsi="仿宋" w:eastAsia="仿宋"/>
                <w:color w:val="000000"/>
                <w:sz w:val="18"/>
                <w:szCs w:val="18"/>
              </w:rPr>
            </w:pPr>
            <w:r>
              <w:rPr>
                <w:rFonts w:ascii="仿宋" w:hAnsi="仿宋" w:eastAsia="仿宋"/>
                <w:color w:val="000000"/>
                <w:sz w:val="18"/>
                <w:szCs w:val="18"/>
              </w:rPr>
              <w:t>2</w:t>
            </w:r>
          </w:p>
        </w:tc>
        <w:tc>
          <w:tcPr>
            <w:tcW w:w="703" w:type="dxa"/>
            <w:vMerge w:val="continue"/>
            <w:vAlign w:val="center"/>
          </w:tcPr>
          <w:p>
            <w:pPr>
              <w:widowControl/>
              <w:jc w:val="left"/>
              <w:rPr>
                <w:rFonts w:hint="eastAsia" w:ascii="仿宋" w:hAnsi="仿宋" w:eastAsia="仿宋"/>
                <w:color w:val="000000"/>
                <w:sz w:val="18"/>
                <w:szCs w:val="18"/>
              </w:rPr>
            </w:pP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领导简介</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领导照片、简介、履历、分管工作等</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□其他： 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527" w:type="dxa"/>
            <w:vAlign w:val="center"/>
          </w:tcPr>
          <w:p>
            <w:pPr>
              <w:widowControl/>
              <w:jc w:val="center"/>
              <w:rPr>
                <w:rFonts w:ascii="仿宋" w:hAnsi="仿宋" w:eastAsia="仿宋"/>
                <w:color w:val="000000"/>
                <w:sz w:val="18"/>
                <w:szCs w:val="18"/>
              </w:rPr>
            </w:pPr>
            <w:r>
              <w:rPr>
                <w:rFonts w:ascii="仿宋" w:hAnsi="仿宋" w:eastAsia="仿宋"/>
                <w:color w:val="000000"/>
                <w:sz w:val="18"/>
                <w:szCs w:val="18"/>
              </w:rPr>
              <w:t>3</w:t>
            </w:r>
          </w:p>
        </w:tc>
        <w:tc>
          <w:tcPr>
            <w:tcW w:w="703" w:type="dxa"/>
            <w:vAlign w:val="center"/>
          </w:tcPr>
          <w:p>
            <w:pPr>
              <w:widowControl/>
              <w:jc w:val="left"/>
              <w:rPr>
                <w:rFonts w:hint="eastAsia" w:ascii="仿宋" w:hAnsi="仿宋" w:eastAsia="仿宋"/>
                <w:color w:val="000000"/>
                <w:sz w:val="18"/>
                <w:szCs w:val="18"/>
              </w:rPr>
            </w:pPr>
            <w:r>
              <w:rPr>
                <w:rFonts w:hint="eastAsia" w:ascii="仿宋" w:hAnsi="仿宋" w:eastAsia="仿宋"/>
                <w:color w:val="000000"/>
                <w:sz w:val="18"/>
                <w:szCs w:val="18"/>
              </w:rPr>
              <w:t>机构概况</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联系方式</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地址、邮编、电话、办公时间</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527" w:type="dxa"/>
            <w:vAlign w:val="center"/>
          </w:tcPr>
          <w:p>
            <w:pPr>
              <w:widowControl/>
              <w:jc w:val="center"/>
              <w:rPr>
                <w:rFonts w:ascii="仿宋" w:hAnsi="仿宋" w:eastAsia="仿宋"/>
                <w:color w:val="000000"/>
                <w:sz w:val="18"/>
                <w:szCs w:val="18"/>
              </w:rPr>
            </w:pPr>
            <w:r>
              <w:rPr>
                <w:rFonts w:ascii="仿宋" w:hAnsi="仿宋" w:eastAsia="仿宋"/>
                <w:color w:val="000000"/>
                <w:sz w:val="18"/>
                <w:szCs w:val="18"/>
              </w:rPr>
              <w:t>4</w:t>
            </w:r>
          </w:p>
        </w:tc>
        <w:tc>
          <w:tcPr>
            <w:tcW w:w="703" w:type="dxa"/>
            <w:vMerge w:val="restart"/>
            <w:vAlign w:val="center"/>
          </w:tcPr>
          <w:p>
            <w:pPr>
              <w:widowControl/>
              <w:jc w:val="left"/>
              <w:rPr>
                <w:rFonts w:ascii="仿宋" w:hAnsi="仿宋" w:eastAsia="仿宋"/>
                <w:color w:val="000000"/>
                <w:sz w:val="18"/>
                <w:szCs w:val="18"/>
              </w:rPr>
            </w:pPr>
            <w:r>
              <w:rPr>
                <w:rFonts w:hint="eastAsia" w:ascii="仿宋" w:hAnsi="仿宋" w:eastAsia="仿宋"/>
                <w:color w:val="000000"/>
                <w:sz w:val="18"/>
                <w:szCs w:val="18"/>
              </w:rPr>
              <w:t>政策法规</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税收法律法规</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税务机关履职相关的法律、法规、规章</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527" w:type="dxa"/>
            <w:vAlign w:val="center"/>
          </w:tcPr>
          <w:p>
            <w:pPr>
              <w:widowControl/>
              <w:jc w:val="center"/>
              <w:rPr>
                <w:rFonts w:ascii="仿宋" w:hAnsi="仿宋" w:eastAsia="仿宋"/>
                <w:color w:val="000000"/>
                <w:sz w:val="18"/>
                <w:szCs w:val="18"/>
              </w:rPr>
            </w:pPr>
            <w:r>
              <w:rPr>
                <w:rFonts w:ascii="仿宋" w:hAnsi="仿宋" w:eastAsia="仿宋"/>
                <w:color w:val="000000"/>
                <w:sz w:val="18"/>
                <w:szCs w:val="18"/>
              </w:rPr>
              <w:t>5</w:t>
            </w:r>
          </w:p>
        </w:tc>
        <w:tc>
          <w:tcPr>
            <w:tcW w:w="703" w:type="dxa"/>
            <w:vMerge w:val="continue"/>
            <w:vAlign w:val="center"/>
          </w:tcPr>
          <w:p>
            <w:pPr>
              <w:widowControl/>
              <w:jc w:val="left"/>
              <w:rPr>
                <w:rFonts w:ascii="仿宋" w:hAnsi="仿宋" w:eastAsia="仿宋"/>
                <w:color w:val="000000"/>
                <w:sz w:val="18"/>
                <w:szCs w:val="18"/>
              </w:rPr>
            </w:pP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税收规范性文件</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税务机关履职相关的规范性文件</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2.《国家税务总局关于修改&lt;税收规范性文件制定管理办法&gt;的决定》（国家税务总局令第50号）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3.《国家税务总局关于印发&lt;全面推进政务公开工作实施办法&gt;的通知》（税总发〔2017〕44号）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0" w:hRule="atLeast"/>
        </w:trPr>
        <w:tc>
          <w:tcPr>
            <w:tcW w:w="527" w:type="dxa"/>
            <w:vAlign w:val="center"/>
          </w:tcPr>
          <w:p>
            <w:pPr>
              <w:widowControl/>
              <w:jc w:val="center"/>
              <w:rPr>
                <w:rFonts w:ascii="仿宋" w:hAnsi="仿宋" w:eastAsia="仿宋"/>
                <w:color w:val="000000"/>
                <w:sz w:val="18"/>
                <w:szCs w:val="18"/>
              </w:rPr>
            </w:pPr>
            <w:r>
              <w:rPr>
                <w:rFonts w:ascii="仿宋" w:hAnsi="仿宋" w:eastAsia="仿宋"/>
                <w:color w:val="000000"/>
                <w:sz w:val="18"/>
                <w:szCs w:val="18"/>
              </w:rPr>
              <w:t>6</w:t>
            </w:r>
          </w:p>
        </w:tc>
        <w:tc>
          <w:tcPr>
            <w:tcW w:w="703" w:type="dxa"/>
            <w:vAlign w:val="center"/>
          </w:tcPr>
          <w:p>
            <w:pPr>
              <w:widowControl/>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纳税人权利</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税收法律法规规定的纳税人权利</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1.《中华人民共和国税收征收管理法》    </w:t>
            </w:r>
            <w:r>
              <w:rPr>
                <w:rFonts w:hint="eastAsia" w:ascii="仿宋" w:hAnsi="仿宋" w:eastAsia="仿宋"/>
                <w:color w:val="000000"/>
                <w:sz w:val="18"/>
                <w:szCs w:val="18"/>
              </w:rPr>
              <w:br w:type="textWrapping"/>
            </w:r>
            <w:r>
              <w:rPr>
                <w:rFonts w:hint="eastAsia" w:ascii="仿宋" w:hAnsi="仿宋" w:eastAsia="仿宋"/>
                <w:color w:val="000000"/>
                <w:sz w:val="18"/>
                <w:szCs w:val="18"/>
              </w:rPr>
              <w:t>2.《国家税务总局关于纳税人权利与义务的公告》（公告2009年第1号）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ascii="仿宋" w:hAnsi="仿宋" w:eastAsia="仿宋"/>
                <w:color w:val="000000"/>
                <w:sz w:val="18"/>
                <w:szCs w:val="18"/>
              </w:rPr>
              <w:t>7</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纳税人义务</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税收法律法规规定的纳税人义务</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1.《中华人民共和国税收征收管理法》    </w:t>
            </w:r>
            <w:r>
              <w:rPr>
                <w:rFonts w:hint="eastAsia" w:ascii="仿宋" w:hAnsi="仿宋" w:eastAsia="仿宋"/>
                <w:color w:val="000000"/>
                <w:sz w:val="18"/>
                <w:szCs w:val="18"/>
              </w:rPr>
              <w:br w:type="textWrapping"/>
            </w:r>
            <w:r>
              <w:rPr>
                <w:rFonts w:hint="eastAsia" w:ascii="仿宋" w:hAnsi="仿宋" w:eastAsia="仿宋"/>
                <w:color w:val="000000"/>
                <w:sz w:val="18"/>
                <w:szCs w:val="18"/>
              </w:rPr>
              <w:t>2.《国家税务总局关于纳税人权利与义务的公告》（公告2009年第1号）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ascii="仿宋" w:hAnsi="仿宋" w:eastAsia="仿宋"/>
                <w:color w:val="000000"/>
                <w:sz w:val="18"/>
                <w:szCs w:val="18"/>
              </w:rPr>
              <w:t>8</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A级纳税人名单</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1.纳税人识别号</w:t>
            </w:r>
            <w:r>
              <w:rPr>
                <w:rFonts w:hint="eastAsia" w:ascii="仿宋" w:hAnsi="仿宋" w:eastAsia="仿宋"/>
                <w:color w:val="000000"/>
                <w:sz w:val="18"/>
                <w:szCs w:val="18"/>
              </w:rPr>
              <w:br w:type="textWrapping"/>
            </w:r>
            <w:r>
              <w:rPr>
                <w:rFonts w:hint="eastAsia" w:ascii="仿宋" w:hAnsi="仿宋" w:eastAsia="仿宋"/>
                <w:color w:val="000000"/>
                <w:sz w:val="18"/>
                <w:szCs w:val="18"/>
              </w:rPr>
              <w:t>2.纳税人名称</w:t>
            </w:r>
            <w:r>
              <w:rPr>
                <w:rFonts w:hint="eastAsia" w:ascii="仿宋" w:hAnsi="仿宋" w:eastAsia="仿宋"/>
                <w:color w:val="000000"/>
                <w:sz w:val="18"/>
                <w:szCs w:val="18"/>
              </w:rPr>
              <w:br w:type="textWrapping"/>
            </w:r>
            <w:r>
              <w:rPr>
                <w:rFonts w:hint="eastAsia" w:ascii="仿宋" w:hAnsi="仿宋" w:eastAsia="仿宋"/>
                <w:color w:val="000000"/>
                <w:sz w:val="18"/>
                <w:szCs w:val="18"/>
              </w:rPr>
              <w:t>3.评价年度</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1.《国家税务总局关于明确纳税信用管理若干业务口径的公告》（国家税务总局公告2015年第85号）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ascii="仿宋" w:hAnsi="仿宋" w:eastAsia="仿宋"/>
                <w:color w:val="000000"/>
                <w:sz w:val="18"/>
                <w:szCs w:val="18"/>
              </w:rPr>
              <w:t>9</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涉税专业服务相关信息</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1.纳入监管的涉税专业服务机构名单及其信用情况</w:t>
            </w:r>
            <w:r>
              <w:rPr>
                <w:rFonts w:hint="eastAsia" w:ascii="仿宋" w:hAnsi="仿宋" w:eastAsia="仿宋"/>
                <w:color w:val="000000"/>
                <w:sz w:val="18"/>
                <w:szCs w:val="18"/>
              </w:rPr>
              <w:br w:type="textWrapping"/>
            </w:r>
            <w:r>
              <w:rPr>
                <w:rFonts w:hint="eastAsia" w:ascii="仿宋" w:hAnsi="仿宋" w:eastAsia="仿宋"/>
                <w:color w:val="000000"/>
                <w:sz w:val="18"/>
                <w:szCs w:val="18"/>
              </w:rPr>
              <w:t>2.未经行政登记的税务师事务所名单</w:t>
            </w:r>
            <w:r>
              <w:rPr>
                <w:rFonts w:hint="eastAsia" w:ascii="仿宋" w:hAnsi="仿宋" w:eastAsia="仿宋"/>
                <w:color w:val="000000"/>
                <w:sz w:val="18"/>
                <w:szCs w:val="18"/>
              </w:rPr>
              <w:br w:type="textWrapping"/>
            </w:r>
            <w:r>
              <w:rPr>
                <w:rFonts w:hint="eastAsia" w:ascii="仿宋" w:hAnsi="仿宋" w:eastAsia="仿宋"/>
                <w:color w:val="000000"/>
                <w:sz w:val="18"/>
                <w:szCs w:val="18"/>
              </w:rPr>
              <w:t>3.涉税服务失信名录</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1.《涉税专业服务监管办法（试行）》（国家税务总局公告2017年第13号）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2.《涉税专业服务信用评价管理办法（试行）》（国家税务总局公告2017年第48号） </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3.《国家税务总局关于印发&lt;全国税务系统深化“放管服”改革五年工作方案（2018年-2022年）全面推进政务公开工作实施办法&gt;的通知》（税总发〔2018〕199号）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ascii="仿宋" w:hAnsi="仿宋" w:eastAsia="仿宋"/>
                <w:color w:val="000000"/>
                <w:sz w:val="18"/>
                <w:szCs w:val="18"/>
              </w:rPr>
              <w:t>10</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办税地图</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1.办税服务厅名称</w:t>
            </w:r>
            <w:r>
              <w:rPr>
                <w:rFonts w:hint="eastAsia" w:ascii="仿宋" w:hAnsi="仿宋" w:eastAsia="仿宋"/>
                <w:color w:val="000000"/>
                <w:sz w:val="18"/>
                <w:szCs w:val="18"/>
              </w:rPr>
              <w:br w:type="textWrapping"/>
            </w:r>
            <w:r>
              <w:rPr>
                <w:rFonts w:hint="eastAsia" w:ascii="仿宋" w:hAnsi="仿宋" w:eastAsia="仿宋"/>
                <w:color w:val="000000"/>
                <w:sz w:val="18"/>
                <w:szCs w:val="18"/>
              </w:rPr>
              <w:t>2.地址</w:t>
            </w:r>
            <w:r>
              <w:rPr>
                <w:rFonts w:hint="eastAsia" w:ascii="仿宋" w:hAnsi="仿宋" w:eastAsia="仿宋"/>
                <w:color w:val="000000"/>
                <w:sz w:val="18"/>
                <w:szCs w:val="18"/>
              </w:rPr>
              <w:br w:type="textWrapping"/>
            </w:r>
            <w:r>
              <w:rPr>
                <w:rFonts w:hint="eastAsia" w:ascii="仿宋" w:hAnsi="仿宋" w:eastAsia="仿宋"/>
                <w:color w:val="000000"/>
                <w:sz w:val="18"/>
                <w:szCs w:val="18"/>
              </w:rPr>
              <w:t>3.电话</w:t>
            </w:r>
            <w:r>
              <w:rPr>
                <w:rFonts w:hint="eastAsia" w:ascii="仿宋" w:hAnsi="仿宋" w:eastAsia="仿宋"/>
                <w:color w:val="000000"/>
                <w:sz w:val="18"/>
                <w:szCs w:val="18"/>
              </w:rPr>
              <w:br w:type="textWrapping"/>
            </w:r>
            <w:r>
              <w:rPr>
                <w:rFonts w:hint="eastAsia" w:ascii="仿宋" w:hAnsi="仿宋" w:eastAsia="仿宋"/>
                <w:color w:val="000000"/>
                <w:sz w:val="18"/>
                <w:szCs w:val="18"/>
              </w:rPr>
              <w:t>4.办公时间</w:t>
            </w:r>
            <w:r>
              <w:rPr>
                <w:rFonts w:hint="eastAsia" w:ascii="仿宋" w:hAnsi="仿宋" w:eastAsia="仿宋"/>
                <w:color w:val="000000"/>
                <w:sz w:val="18"/>
                <w:szCs w:val="18"/>
              </w:rPr>
              <w:br w:type="textWrapping"/>
            </w:r>
            <w:r>
              <w:rPr>
                <w:rFonts w:hint="eastAsia" w:ascii="仿宋" w:hAnsi="仿宋" w:eastAsia="仿宋"/>
                <w:color w:val="000000"/>
                <w:sz w:val="18"/>
                <w:szCs w:val="18"/>
              </w:rPr>
              <w:t>5.主要职责</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11</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办税日历</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1.申报征收期</w:t>
            </w:r>
            <w:r>
              <w:rPr>
                <w:rFonts w:hint="eastAsia" w:ascii="仿宋" w:hAnsi="仿宋" w:eastAsia="仿宋"/>
                <w:color w:val="000000"/>
                <w:sz w:val="18"/>
                <w:szCs w:val="18"/>
              </w:rPr>
              <w:br w:type="textWrapping"/>
            </w:r>
            <w:r>
              <w:rPr>
                <w:rFonts w:hint="eastAsia" w:ascii="仿宋" w:hAnsi="仿宋" w:eastAsia="仿宋"/>
                <w:color w:val="000000"/>
                <w:sz w:val="18"/>
                <w:szCs w:val="18"/>
              </w:rPr>
              <w:t>2.申报征收项目</w:t>
            </w:r>
            <w:r>
              <w:rPr>
                <w:rFonts w:hint="eastAsia" w:ascii="仿宋" w:hAnsi="仿宋" w:eastAsia="仿宋"/>
                <w:color w:val="000000"/>
                <w:sz w:val="18"/>
                <w:szCs w:val="18"/>
              </w:rPr>
              <w:br w:type="textWrapping"/>
            </w:r>
            <w:r>
              <w:rPr>
                <w:rFonts w:hint="eastAsia" w:ascii="仿宋" w:hAnsi="仿宋" w:eastAsia="仿宋"/>
                <w:color w:val="000000"/>
                <w:sz w:val="18"/>
                <w:szCs w:val="18"/>
              </w:rPr>
              <w:t>3.备注</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12</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办税指南</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1.事项名称</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2.设定依据 </w:t>
            </w:r>
            <w:r>
              <w:rPr>
                <w:rFonts w:hint="eastAsia" w:ascii="仿宋" w:hAnsi="仿宋" w:eastAsia="仿宋"/>
                <w:color w:val="000000"/>
                <w:sz w:val="18"/>
                <w:szCs w:val="18"/>
              </w:rPr>
              <w:br w:type="textWrapping"/>
            </w:r>
            <w:r>
              <w:rPr>
                <w:rFonts w:hint="eastAsia" w:ascii="仿宋" w:hAnsi="仿宋" w:eastAsia="仿宋"/>
                <w:color w:val="000000"/>
                <w:sz w:val="18"/>
                <w:szCs w:val="18"/>
              </w:rPr>
              <w:t>3.申请条件</w:t>
            </w:r>
            <w:r>
              <w:rPr>
                <w:rFonts w:hint="eastAsia" w:ascii="仿宋" w:hAnsi="仿宋" w:eastAsia="仿宋"/>
                <w:color w:val="000000"/>
                <w:sz w:val="18"/>
                <w:szCs w:val="18"/>
              </w:rPr>
              <w:br w:type="textWrapping"/>
            </w:r>
            <w:r>
              <w:rPr>
                <w:rFonts w:hint="eastAsia" w:ascii="仿宋" w:hAnsi="仿宋" w:eastAsia="仿宋"/>
                <w:color w:val="000000"/>
                <w:sz w:val="18"/>
                <w:szCs w:val="18"/>
              </w:rPr>
              <w:t>4.办理材料</w:t>
            </w:r>
            <w:r>
              <w:rPr>
                <w:rFonts w:hint="eastAsia" w:ascii="仿宋" w:hAnsi="仿宋" w:eastAsia="仿宋"/>
                <w:color w:val="000000"/>
                <w:sz w:val="18"/>
                <w:szCs w:val="18"/>
              </w:rPr>
              <w:br w:type="textWrapping"/>
            </w:r>
            <w:r>
              <w:rPr>
                <w:rFonts w:hint="eastAsia" w:ascii="仿宋" w:hAnsi="仿宋" w:eastAsia="仿宋"/>
                <w:color w:val="000000"/>
                <w:sz w:val="18"/>
                <w:szCs w:val="18"/>
              </w:rPr>
              <w:t>5.办理地点</w:t>
            </w:r>
            <w:r>
              <w:rPr>
                <w:rFonts w:hint="eastAsia" w:ascii="仿宋" w:hAnsi="仿宋" w:eastAsia="仿宋"/>
                <w:color w:val="000000"/>
                <w:sz w:val="18"/>
                <w:szCs w:val="18"/>
              </w:rPr>
              <w:br w:type="textWrapping"/>
            </w:r>
            <w:r>
              <w:rPr>
                <w:rFonts w:hint="eastAsia" w:ascii="仿宋" w:hAnsi="仿宋" w:eastAsia="仿宋"/>
                <w:color w:val="000000"/>
                <w:sz w:val="18"/>
                <w:szCs w:val="18"/>
              </w:rPr>
              <w:t>6.办理机构</w:t>
            </w:r>
            <w:r>
              <w:rPr>
                <w:rFonts w:hint="eastAsia" w:ascii="仿宋" w:hAnsi="仿宋" w:eastAsia="仿宋"/>
                <w:color w:val="000000"/>
                <w:sz w:val="18"/>
                <w:szCs w:val="18"/>
              </w:rPr>
              <w:br w:type="textWrapping"/>
            </w:r>
            <w:r>
              <w:rPr>
                <w:rFonts w:hint="eastAsia" w:ascii="仿宋" w:hAnsi="仿宋" w:eastAsia="仿宋"/>
                <w:color w:val="000000"/>
                <w:sz w:val="18"/>
                <w:szCs w:val="18"/>
              </w:rPr>
              <w:t>7.收费标准</w:t>
            </w:r>
            <w:r>
              <w:rPr>
                <w:rFonts w:hint="eastAsia" w:ascii="仿宋" w:hAnsi="仿宋" w:eastAsia="仿宋"/>
                <w:color w:val="000000"/>
                <w:sz w:val="18"/>
                <w:szCs w:val="18"/>
              </w:rPr>
              <w:br w:type="textWrapping"/>
            </w:r>
            <w:r>
              <w:rPr>
                <w:rFonts w:hint="eastAsia" w:ascii="仿宋" w:hAnsi="仿宋" w:eastAsia="仿宋"/>
                <w:color w:val="000000"/>
                <w:sz w:val="18"/>
                <w:szCs w:val="18"/>
              </w:rPr>
              <w:t>8.办理时间</w:t>
            </w:r>
            <w:r>
              <w:rPr>
                <w:rFonts w:hint="eastAsia" w:ascii="仿宋" w:hAnsi="仿宋" w:eastAsia="仿宋"/>
                <w:color w:val="000000"/>
                <w:sz w:val="18"/>
                <w:szCs w:val="18"/>
              </w:rPr>
              <w:br w:type="textWrapping"/>
            </w:r>
            <w:r>
              <w:rPr>
                <w:rFonts w:hint="eastAsia" w:ascii="仿宋" w:hAnsi="仿宋" w:eastAsia="仿宋"/>
                <w:color w:val="000000"/>
                <w:sz w:val="18"/>
                <w:szCs w:val="18"/>
              </w:rPr>
              <w:t>9.联系电话</w:t>
            </w:r>
            <w:r>
              <w:rPr>
                <w:rFonts w:hint="eastAsia" w:ascii="仿宋" w:hAnsi="仿宋" w:eastAsia="仿宋"/>
                <w:color w:val="000000"/>
                <w:sz w:val="18"/>
                <w:szCs w:val="18"/>
              </w:rPr>
              <w:br w:type="textWrapping"/>
            </w:r>
            <w:r>
              <w:rPr>
                <w:rFonts w:hint="eastAsia" w:ascii="仿宋" w:hAnsi="仿宋" w:eastAsia="仿宋"/>
                <w:color w:val="000000"/>
                <w:sz w:val="18"/>
                <w:szCs w:val="18"/>
              </w:rPr>
              <w:t>10.办理流程</w:t>
            </w:r>
            <w:r>
              <w:rPr>
                <w:rFonts w:hint="eastAsia" w:ascii="仿宋" w:hAnsi="仿宋" w:eastAsia="仿宋"/>
                <w:color w:val="000000"/>
                <w:sz w:val="18"/>
                <w:szCs w:val="18"/>
              </w:rPr>
              <w:br w:type="textWrapping"/>
            </w:r>
            <w:r>
              <w:rPr>
                <w:rFonts w:hint="eastAsia" w:ascii="仿宋" w:hAnsi="仿宋" w:eastAsia="仿宋"/>
                <w:color w:val="000000"/>
                <w:sz w:val="18"/>
                <w:szCs w:val="18"/>
              </w:rPr>
              <w:t>11.纳税人注意事项</w:t>
            </w:r>
            <w:r>
              <w:rPr>
                <w:rFonts w:hint="eastAsia" w:ascii="仿宋" w:hAnsi="仿宋" w:eastAsia="仿宋"/>
                <w:color w:val="000000"/>
                <w:sz w:val="18"/>
                <w:szCs w:val="18"/>
              </w:rPr>
              <w:br w:type="textWrapping"/>
            </w:r>
            <w:r>
              <w:rPr>
                <w:rFonts w:hint="eastAsia" w:ascii="仿宋" w:hAnsi="仿宋" w:eastAsia="仿宋"/>
                <w:color w:val="000000"/>
                <w:sz w:val="18"/>
                <w:szCs w:val="18"/>
              </w:rPr>
              <w:t>12.政策依据</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bottom"/>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bottom"/>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bottom"/>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13</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权责清单</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1.职权名称           2.设定依据            3.履责方式             4.追责情形            5.权责事项信息表（包括基本信息、办理信息、监管措施、咨询查询、行政相对人责任、监督责任、法律救济、行政职权运行流程图等）           </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14</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准予行政许可决定公示</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1.行政许可决定书及其文号</w:t>
            </w:r>
            <w:r>
              <w:rPr>
                <w:rFonts w:hint="eastAsia" w:ascii="仿宋" w:hAnsi="仿宋" w:eastAsia="仿宋"/>
                <w:color w:val="000000"/>
                <w:sz w:val="18"/>
                <w:szCs w:val="18"/>
              </w:rPr>
              <w:br w:type="textWrapping"/>
            </w:r>
            <w:r>
              <w:rPr>
                <w:rFonts w:hint="eastAsia" w:ascii="仿宋" w:hAnsi="仿宋" w:eastAsia="仿宋"/>
                <w:color w:val="000000"/>
                <w:sz w:val="18"/>
                <w:szCs w:val="18"/>
              </w:rPr>
              <w:t>2.设定依据</w:t>
            </w:r>
            <w:r>
              <w:rPr>
                <w:rFonts w:hint="eastAsia" w:ascii="仿宋" w:hAnsi="仿宋" w:eastAsia="仿宋"/>
                <w:color w:val="000000"/>
                <w:sz w:val="18"/>
                <w:szCs w:val="18"/>
              </w:rPr>
              <w:br w:type="textWrapping"/>
            </w:r>
            <w:r>
              <w:rPr>
                <w:rFonts w:hint="eastAsia" w:ascii="仿宋" w:hAnsi="仿宋" w:eastAsia="仿宋"/>
                <w:color w:val="000000"/>
                <w:sz w:val="18"/>
                <w:szCs w:val="18"/>
              </w:rPr>
              <w:t>3.项目名称</w:t>
            </w:r>
            <w:r>
              <w:rPr>
                <w:rFonts w:hint="eastAsia" w:ascii="仿宋" w:hAnsi="仿宋" w:eastAsia="仿宋"/>
                <w:color w:val="000000"/>
                <w:sz w:val="18"/>
                <w:szCs w:val="18"/>
              </w:rPr>
              <w:br w:type="textWrapping"/>
            </w:r>
            <w:r>
              <w:rPr>
                <w:rFonts w:hint="eastAsia" w:ascii="仿宋" w:hAnsi="仿宋" w:eastAsia="仿宋"/>
                <w:color w:val="000000"/>
                <w:sz w:val="18"/>
                <w:szCs w:val="18"/>
              </w:rPr>
              <w:t>4.行政相对人统一社会信用代码</w:t>
            </w:r>
            <w:r>
              <w:rPr>
                <w:rFonts w:hint="eastAsia" w:ascii="仿宋" w:hAnsi="仿宋" w:eastAsia="仿宋"/>
                <w:color w:val="000000"/>
                <w:sz w:val="18"/>
                <w:szCs w:val="18"/>
              </w:rPr>
              <w:br w:type="textWrapping"/>
            </w:r>
            <w:r>
              <w:rPr>
                <w:rFonts w:hint="eastAsia" w:ascii="仿宋" w:hAnsi="仿宋" w:eastAsia="仿宋"/>
                <w:color w:val="000000"/>
                <w:sz w:val="18"/>
                <w:szCs w:val="18"/>
              </w:rPr>
              <w:t>5.审批部门</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《国家税务总局办公厅关于做好行政许可和行政处罚等信用信息公示工作的通知》（税总办发〔2016〕19号）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在做出行政许可决定之日起7个工作日内完成公示</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15</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行政处罚决定和结果公示</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1.行政处罚决定书文号</w:t>
            </w:r>
            <w:r>
              <w:rPr>
                <w:rFonts w:hint="eastAsia" w:ascii="仿宋" w:hAnsi="仿宋" w:eastAsia="仿宋"/>
                <w:color w:val="000000"/>
                <w:sz w:val="18"/>
                <w:szCs w:val="18"/>
              </w:rPr>
              <w:br w:type="textWrapping"/>
            </w:r>
            <w:r>
              <w:rPr>
                <w:rFonts w:hint="eastAsia" w:ascii="仿宋" w:hAnsi="仿宋" w:eastAsia="仿宋"/>
                <w:color w:val="000000"/>
                <w:sz w:val="18"/>
                <w:szCs w:val="18"/>
              </w:rPr>
              <w:t>2.执法依据</w:t>
            </w:r>
            <w:r>
              <w:rPr>
                <w:rFonts w:hint="eastAsia" w:ascii="仿宋" w:hAnsi="仿宋" w:eastAsia="仿宋"/>
                <w:color w:val="000000"/>
                <w:sz w:val="18"/>
                <w:szCs w:val="18"/>
              </w:rPr>
              <w:br w:type="textWrapping"/>
            </w:r>
            <w:r>
              <w:rPr>
                <w:rFonts w:hint="eastAsia" w:ascii="仿宋" w:hAnsi="仿宋" w:eastAsia="仿宋"/>
                <w:color w:val="000000"/>
                <w:sz w:val="18"/>
                <w:szCs w:val="18"/>
              </w:rPr>
              <w:t>3.案件名称</w:t>
            </w:r>
            <w:r>
              <w:rPr>
                <w:rFonts w:hint="eastAsia" w:ascii="仿宋" w:hAnsi="仿宋" w:eastAsia="仿宋"/>
                <w:color w:val="000000"/>
                <w:sz w:val="18"/>
                <w:szCs w:val="18"/>
              </w:rPr>
              <w:br w:type="textWrapping"/>
            </w:r>
            <w:r>
              <w:rPr>
                <w:rFonts w:hint="eastAsia" w:ascii="仿宋" w:hAnsi="仿宋" w:eastAsia="仿宋"/>
                <w:color w:val="000000"/>
                <w:sz w:val="18"/>
                <w:szCs w:val="18"/>
              </w:rPr>
              <w:t>4.行政相对人统一社会信用代码</w:t>
            </w:r>
            <w:r>
              <w:rPr>
                <w:rFonts w:hint="eastAsia" w:ascii="仿宋" w:hAnsi="仿宋" w:eastAsia="仿宋"/>
                <w:color w:val="000000"/>
                <w:sz w:val="18"/>
                <w:szCs w:val="18"/>
              </w:rPr>
              <w:br w:type="textWrapping"/>
            </w:r>
            <w:r>
              <w:rPr>
                <w:rFonts w:hint="eastAsia" w:ascii="仿宋" w:hAnsi="仿宋" w:eastAsia="仿宋"/>
                <w:color w:val="000000"/>
                <w:sz w:val="18"/>
                <w:szCs w:val="18"/>
              </w:rPr>
              <w:t>5.处罚事由</w:t>
            </w:r>
            <w:r>
              <w:rPr>
                <w:rFonts w:hint="eastAsia" w:ascii="仿宋" w:hAnsi="仿宋" w:eastAsia="仿宋"/>
                <w:color w:val="000000"/>
                <w:sz w:val="18"/>
                <w:szCs w:val="18"/>
              </w:rPr>
              <w:br w:type="textWrapping"/>
            </w:r>
            <w:r>
              <w:rPr>
                <w:rFonts w:hint="eastAsia" w:ascii="仿宋" w:hAnsi="仿宋" w:eastAsia="仿宋"/>
                <w:color w:val="000000"/>
                <w:sz w:val="18"/>
                <w:szCs w:val="18"/>
              </w:rPr>
              <w:t>6.作出处罚决定的部门</w:t>
            </w:r>
            <w:r>
              <w:rPr>
                <w:rFonts w:hint="eastAsia" w:ascii="仿宋" w:hAnsi="仿宋" w:eastAsia="仿宋"/>
                <w:color w:val="000000"/>
                <w:sz w:val="18"/>
                <w:szCs w:val="18"/>
              </w:rPr>
              <w:br w:type="textWrapping"/>
            </w:r>
            <w:r>
              <w:rPr>
                <w:rFonts w:hint="eastAsia" w:ascii="仿宋" w:hAnsi="仿宋" w:eastAsia="仿宋"/>
                <w:color w:val="000000"/>
                <w:sz w:val="18"/>
                <w:szCs w:val="18"/>
              </w:rPr>
              <w:t>7.处罚结果</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1.《国家税务总局关于印发&lt;全面推进政务公开工作实施办法&gt;的通知》（税总发〔2017〕44号）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2.《国家税务总局办公厅关于做好行政许可和行政处罚等信用信息公示工作的通知》（税总办发〔2016〕19号）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在做出行政处罚决定之日起7个工作日内完成公示</w:t>
            </w:r>
          </w:p>
        </w:tc>
        <w:tc>
          <w:tcPr>
            <w:tcW w:w="694" w:type="dxa"/>
            <w:vAlign w:val="center"/>
          </w:tcPr>
          <w:p>
            <w:pPr>
              <w:jc w:val="left"/>
              <w:rPr>
                <w:rFonts w:ascii="仿宋" w:hAnsi="仿宋" w:eastAsia="仿宋" w:cs="宋体"/>
                <w:sz w:val="18"/>
                <w:szCs w:val="18"/>
              </w:rPr>
            </w:pPr>
            <w:r>
              <w:rPr>
                <w:rFonts w:hint="eastAsia" w:ascii="仿宋" w:hAnsi="仿宋" w:eastAsia="仿宋"/>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16</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非正常户公告</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3.《国家税务总局关于进一步完善税务登记管理有关问题的公告》（国家税务总局公告 2011年第21号）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在非正常户认定的次月公告非正常户</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6"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17</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欠税公告</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1.企业或单位欠税的：</w:t>
            </w:r>
            <w:r>
              <w:rPr>
                <w:rFonts w:hint="eastAsia" w:ascii="仿宋" w:hAnsi="仿宋" w:eastAsia="仿宋"/>
                <w:color w:val="000000"/>
                <w:sz w:val="18"/>
                <w:szCs w:val="18"/>
              </w:rPr>
              <w:br w:type="textWrapping"/>
            </w:r>
            <w:r>
              <w:rPr>
                <w:rFonts w:hint="eastAsia" w:ascii="仿宋" w:hAnsi="仿宋" w:eastAsia="仿宋"/>
                <w:color w:val="000000"/>
                <w:sz w:val="18"/>
                <w:szCs w:val="18"/>
              </w:rPr>
              <w:t>公告企业或单位的名称、纳税人识别号、法定代表人或负责人姓名、居民身份证或其他有效身份证件号码（隐去出生年、月、日6位数）、经营地点、欠税税种、欠税余额和当期新发生的欠税金额；</w:t>
            </w:r>
            <w:r>
              <w:rPr>
                <w:rFonts w:hint="eastAsia" w:ascii="仿宋" w:hAnsi="仿宋" w:eastAsia="仿宋"/>
                <w:color w:val="000000"/>
                <w:sz w:val="18"/>
                <w:szCs w:val="18"/>
              </w:rPr>
              <w:br w:type="textWrapping"/>
            </w:r>
            <w:r>
              <w:rPr>
                <w:rFonts w:hint="eastAsia" w:ascii="仿宋" w:hAnsi="仿宋" w:eastAsia="仿宋"/>
                <w:color w:val="000000"/>
                <w:sz w:val="18"/>
                <w:szCs w:val="18"/>
              </w:rPr>
              <w:t>2.个体工商户欠税的：</w:t>
            </w:r>
            <w:r>
              <w:rPr>
                <w:rFonts w:hint="eastAsia" w:ascii="仿宋" w:hAnsi="仿宋" w:eastAsia="仿宋"/>
                <w:color w:val="000000"/>
                <w:sz w:val="18"/>
                <w:szCs w:val="18"/>
              </w:rPr>
              <w:br w:type="textWrapping"/>
            </w:r>
            <w:r>
              <w:rPr>
                <w:rFonts w:hint="eastAsia" w:ascii="仿宋" w:hAnsi="仿宋" w:eastAsia="仿宋"/>
                <w:color w:val="000000"/>
                <w:sz w:val="18"/>
                <w:szCs w:val="18"/>
              </w:rPr>
              <w:t>公告业户名称、业主姓名、纳税人识别号、居民身份证或其他有效身份证件号码（隐去出生年、月、日6位数）、经营地点、欠税税种、欠税余额和当期新发生的欠税金额；</w:t>
            </w:r>
            <w:r>
              <w:rPr>
                <w:rFonts w:hint="eastAsia" w:ascii="仿宋" w:hAnsi="仿宋" w:eastAsia="仿宋"/>
                <w:color w:val="000000"/>
                <w:sz w:val="18"/>
                <w:szCs w:val="18"/>
              </w:rPr>
              <w:br w:type="textWrapping"/>
            </w:r>
            <w:r>
              <w:rPr>
                <w:rFonts w:hint="eastAsia" w:ascii="仿宋" w:hAnsi="仿宋" w:eastAsia="仿宋"/>
                <w:color w:val="000000"/>
                <w:sz w:val="18"/>
                <w:szCs w:val="18"/>
              </w:rPr>
              <w:t>3.个人（不含个体工商户）欠税的：</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公告其姓名、居民身份证或其他有效身份证件号码（隐去出生年、月、日6位数）、欠税税种、欠税余额和当期新发生的欠税金额                                                                               </w:t>
            </w:r>
            <w:r>
              <w:rPr>
                <w:rFonts w:hint="eastAsia" w:ascii="仿宋" w:hAnsi="仿宋" w:eastAsia="仿宋"/>
                <w:color w:val="000000"/>
                <w:sz w:val="18"/>
                <w:szCs w:val="18"/>
              </w:rPr>
              <w:br w:type="textWrapping"/>
            </w:r>
            <w:r>
              <w:rPr>
                <w:rFonts w:hint="eastAsia" w:ascii="仿宋" w:hAnsi="仿宋" w:eastAsia="仿宋"/>
                <w:color w:val="000000"/>
                <w:sz w:val="18"/>
                <w:szCs w:val="18"/>
              </w:rPr>
              <w:t>4.对走逃、失踪的纳税户以及其他经税务机关查无下落的纳税人欠税的，由各省、自治区、直辖市和计划单列市税务局公告</w:t>
            </w:r>
            <w:r>
              <w:rPr>
                <w:rFonts w:hint="eastAsia" w:ascii="宋体" w:hAnsi="宋体" w:eastAsia="宋体" w:cs="宋体"/>
                <w:color w:val="000000"/>
                <w:sz w:val="18"/>
                <w:szCs w:val="18"/>
              </w:rPr>
              <w:t> </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3.《欠税公告办法（试行）》（国家税务总局令第 9 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企业或单位欠税的，每季公告一次；个体工商户和其他个人欠税的，每半年公告一次；走逃、失踪的纳税户以及其他经税务机关查无下落的非正常户欠税的，随时公告</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18</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个体工商户定额公示（公布）公告</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1.纳税人名称</w:t>
            </w:r>
            <w:r>
              <w:rPr>
                <w:rFonts w:hint="eastAsia" w:ascii="仿宋" w:hAnsi="仿宋" w:eastAsia="仿宋"/>
                <w:color w:val="000000"/>
                <w:sz w:val="18"/>
                <w:szCs w:val="18"/>
              </w:rPr>
              <w:br w:type="textWrapping"/>
            </w:r>
            <w:r>
              <w:rPr>
                <w:rFonts w:hint="eastAsia" w:ascii="仿宋" w:hAnsi="仿宋" w:eastAsia="仿宋"/>
                <w:color w:val="000000"/>
                <w:sz w:val="18"/>
                <w:szCs w:val="18"/>
              </w:rPr>
              <w:t>2.统一社会信</w:t>
            </w:r>
            <w:r>
              <w:rPr>
                <w:rFonts w:hint="eastAsia" w:ascii="仿宋" w:hAnsi="仿宋" w:eastAsia="仿宋"/>
                <w:color w:val="000000"/>
                <w:sz w:val="18"/>
                <w:szCs w:val="18"/>
                <w:lang w:eastAsia="zh-CN"/>
              </w:rPr>
              <w:t>用</w:t>
            </w:r>
            <w:bookmarkStart w:id="1" w:name="_GoBack"/>
            <w:bookmarkEnd w:id="1"/>
            <w:r>
              <w:rPr>
                <w:rFonts w:hint="eastAsia" w:ascii="仿宋" w:hAnsi="仿宋" w:eastAsia="仿宋"/>
                <w:color w:val="000000"/>
                <w:sz w:val="18"/>
                <w:szCs w:val="18"/>
              </w:rPr>
              <w:t>代码（纳税人识别号）</w:t>
            </w:r>
            <w:r>
              <w:rPr>
                <w:rFonts w:hint="eastAsia" w:ascii="仿宋" w:hAnsi="仿宋" w:eastAsia="仿宋"/>
                <w:color w:val="000000"/>
                <w:sz w:val="18"/>
                <w:szCs w:val="18"/>
              </w:rPr>
              <w:br w:type="textWrapping"/>
            </w:r>
            <w:r>
              <w:rPr>
                <w:rFonts w:hint="eastAsia" w:ascii="仿宋" w:hAnsi="仿宋" w:eastAsia="仿宋"/>
                <w:color w:val="000000"/>
                <w:sz w:val="18"/>
                <w:szCs w:val="18"/>
              </w:rPr>
              <w:t>3.生产经营地址</w:t>
            </w:r>
            <w:r>
              <w:rPr>
                <w:rFonts w:hint="eastAsia" w:ascii="仿宋" w:hAnsi="仿宋" w:eastAsia="仿宋"/>
                <w:color w:val="000000"/>
                <w:sz w:val="18"/>
                <w:szCs w:val="18"/>
              </w:rPr>
              <w:br w:type="textWrapping"/>
            </w:r>
            <w:r>
              <w:rPr>
                <w:rFonts w:hint="eastAsia" w:ascii="仿宋" w:hAnsi="仿宋" w:eastAsia="仿宋"/>
                <w:color w:val="000000"/>
                <w:sz w:val="18"/>
                <w:szCs w:val="18"/>
              </w:rPr>
              <w:t>4.定额项目</w:t>
            </w:r>
            <w:r>
              <w:rPr>
                <w:rFonts w:hint="eastAsia" w:ascii="仿宋" w:hAnsi="仿宋" w:eastAsia="仿宋"/>
                <w:color w:val="000000"/>
                <w:sz w:val="18"/>
                <w:szCs w:val="18"/>
              </w:rPr>
              <w:br w:type="textWrapping"/>
            </w:r>
            <w:r>
              <w:rPr>
                <w:rFonts w:hint="eastAsia" w:ascii="仿宋" w:hAnsi="仿宋" w:eastAsia="仿宋"/>
                <w:color w:val="000000"/>
                <w:sz w:val="18"/>
                <w:szCs w:val="18"/>
              </w:rPr>
              <w:t>5.行业类别</w:t>
            </w:r>
            <w:r>
              <w:rPr>
                <w:rFonts w:hint="eastAsia" w:ascii="仿宋" w:hAnsi="仿宋" w:eastAsia="仿宋"/>
                <w:color w:val="000000"/>
                <w:sz w:val="18"/>
                <w:szCs w:val="18"/>
              </w:rPr>
              <w:br w:type="textWrapping"/>
            </w:r>
            <w:r>
              <w:rPr>
                <w:rFonts w:hint="eastAsia" w:ascii="仿宋" w:hAnsi="仿宋" w:eastAsia="仿宋"/>
                <w:color w:val="000000"/>
                <w:sz w:val="18"/>
                <w:szCs w:val="18"/>
              </w:rPr>
              <w:t>6.核定定额</w:t>
            </w:r>
            <w:r>
              <w:rPr>
                <w:rFonts w:hint="eastAsia" w:ascii="仿宋" w:hAnsi="仿宋" w:eastAsia="仿宋"/>
                <w:color w:val="000000"/>
                <w:sz w:val="18"/>
                <w:szCs w:val="18"/>
              </w:rPr>
              <w:br w:type="textWrapping"/>
            </w:r>
            <w:r>
              <w:rPr>
                <w:rFonts w:hint="eastAsia" w:ascii="仿宋" w:hAnsi="仿宋" w:eastAsia="仿宋"/>
                <w:color w:val="000000"/>
                <w:sz w:val="18"/>
                <w:szCs w:val="18"/>
              </w:rPr>
              <w:t>7.应纳税额</w:t>
            </w:r>
            <w:r>
              <w:rPr>
                <w:rFonts w:hint="eastAsia" w:ascii="仿宋" w:hAnsi="仿宋" w:eastAsia="仿宋"/>
                <w:color w:val="000000"/>
                <w:sz w:val="18"/>
                <w:szCs w:val="18"/>
              </w:rPr>
              <w:br w:type="textWrapping"/>
            </w:r>
            <w:r>
              <w:rPr>
                <w:rFonts w:hint="eastAsia" w:ascii="仿宋" w:hAnsi="仿宋" w:eastAsia="仿宋"/>
                <w:color w:val="000000"/>
                <w:sz w:val="18"/>
                <w:szCs w:val="18"/>
              </w:rPr>
              <w:t>8.定额执行起止日期</w:t>
            </w:r>
            <w:r>
              <w:rPr>
                <w:rFonts w:hint="eastAsia" w:ascii="仿宋" w:hAnsi="仿宋" w:eastAsia="仿宋"/>
                <w:color w:val="000000"/>
                <w:sz w:val="18"/>
                <w:szCs w:val="18"/>
              </w:rPr>
              <w:br w:type="textWrapping"/>
            </w:r>
            <w:r>
              <w:rPr>
                <w:rFonts w:hint="eastAsia" w:ascii="仿宋" w:hAnsi="仿宋" w:eastAsia="仿宋"/>
                <w:color w:val="000000"/>
                <w:sz w:val="18"/>
                <w:szCs w:val="18"/>
              </w:rPr>
              <w:t>9.主管税务机关</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3.《国家税务总局关于印发个体工商户税收定期定额征收管理文书的通知》（国税函〔2006〕1199 号）</w:t>
            </w:r>
            <w:r>
              <w:rPr>
                <w:rFonts w:hint="eastAsia" w:ascii="仿宋" w:hAnsi="仿宋" w:eastAsia="仿宋"/>
                <w:color w:val="000000"/>
                <w:sz w:val="18"/>
                <w:szCs w:val="18"/>
              </w:rPr>
              <w:br w:type="textWrapping"/>
            </w:r>
            <w:r>
              <w:rPr>
                <w:rFonts w:hint="eastAsia" w:ascii="仿宋" w:hAnsi="仿宋" w:eastAsia="仿宋"/>
                <w:color w:val="000000"/>
                <w:sz w:val="18"/>
                <w:szCs w:val="18"/>
              </w:rPr>
              <w:t>4.《国家税务总局关于个体工商户定期定额征收管理有关问题的通知》（国税发〔2006〕183号）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pPr>
              <w:widowControl/>
              <w:spacing w:line="240" w:lineRule="exact"/>
              <w:jc w:val="center"/>
              <w:rPr>
                <w:rFonts w:ascii="仿宋" w:hAnsi="仿宋" w:eastAsia="仿宋"/>
                <w:color w:val="000000"/>
                <w:sz w:val="18"/>
                <w:szCs w:val="18"/>
              </w:rPr>
            </w:pPr>
            <w:r>
              <w:rPr>
                <w:rFonts w:hint="eastAsia" w:ascii="仿宋" w:hAnsi="仿宋" w:eastAsia="仿宋"/>
                <w:color w:val="000000"/>
                <w:sz w:val="18"/>
                <w:szCs w:val="18"/>
              </w:rPr>
              <w:t>19</w:t>
            </w:r>
          </w:p>
        </w:tc>
        <w:tc>
          <w:tcPr>
            <w:tcW w:w="703" w:type="dxa"/>
            <w:vAlign w:val="center"/>
          </w:tcPr>
          <w:p>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委托代征公告</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1.税务机关和代征人的名称、联系电话,代征人为行政、事业、企业单位及其他社会组织的，应包括法定代表人或负责人姓名和地址；代征人为自然人的，应包括姓名、户口所在地、现居住地址</w:t>
            </w:r>
            <w:r>
              <w:rPr>
                <w:rFonts w:hint="eastAsia" w:ascii="仿宋" w:hAnsi="仿宋" w:eastAsia="仿宋"/>
                <w:color w:val="000000"/>
                <w:sz w:val="18"/>
                <w:szCs w:val="18"/>
              </w:rPr>
              <w:br w:type="textWrapping"/>
            </w:r>
            <w:r>
              <w:rPr>
                <w:rFonts w:hint="eastAsia" w:ascii="仿宋" w:hAnsi="仿宋" w:eastAsia="仿宋"/>
                <w:color w:val="000000"/>
                <w:sz w:val="18"/>
                <w:szCs w:val="18"/>
              </w:rPr>
              <w:t>2.委托代征的范围和期限</w:t>
            </w:r>
            <w:r>
              <w:rPr>
                <w:rFonts w:hint="eastAsia" w:ascii="仿宋" w:hAnsi="仿宋" w:eastAsia="仿宋"/>
                <w:color w:val="000000"/>
                <w:sz w:val="18"/>
                <w:szCs w:val="18"/>
              </w:rPr>
              <w:br w:type="textWrapping"/>
            </w:r>
            <w:r>
              <w:rPr>
                <w:rFonts w:hint="eastAsia" w:ascii="仿宋" w:hAnsi="仿宋" w:eastAsia="仿宋"/>
                <w:color w:val="000000"/>
                <w:sz w:val="18"/>
                <w:szCs w:val="18"/>
              </w:rPr>
              <w:t>3.委托代征的税种及附加、计税依据及税率</w:t>
            </w:r>
            <w:r>
              <w:rPr>
                <w:rFonts w:hint="eastAsia" w:ascii="仿宋" w:hAnsi="仿宋" w:eastAsia="仿宋"/>
                <w:color w:val="000000"/>
                <w:sz w:val="18"/>
                <w:szCs w:val="18"/>
              </w:rPr>
              <w:br w:type="textWrapping"/>
            </w:r>
            <w:r>
              <w:rPr>
                <w:rFonts w:hint="eastAsia" w:ascii="仿宋" w:hAnsi="仿宋" w:eastAsia="仿宋"/>
                <w:color w:val="000000"/>
                <w:sz w:val="18"/>
                <w:szCs w:val="18"/>
              </w:rPr>
              <w:t>4.税务机关确定的其他需要公告的事项</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3.《国家税务总局关于发布＜委托代征管理办法＞的公告》（国家税务总局公告2013年第24号）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27" w:type="dxa"/>
            <w:vAlign w:val="center"/>
          </w:tcPr>
          <w:p>
            <w:pPr>
              <w:widowControl/>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20</w:t>
            </w:r>
          </w:p>
        </w:tc>
        <w:tc>
          <w:tcPr>
            <w:tcW w:w="703" w:type="dxa"/>
            <w:vAlign w:val="center"/>
          </w:tcPr>
          <w:p>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税收统计</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税（费）收入统计信息</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527" w:type="dxa"/>
            <w:vAlign w:val="center"/>
          </w:tcPr>
          <w:p>
            <w:pPr>
              <w:widowControl/>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21</w:t>
            </w:r>
          </w:p>
        </w:tc>
        <w:tc>
          <w:tcPr>
            <w:tcW w:w="703" w:type="dxa"/>
            <w:vAlign w:val="center"/>
          </w:tcPr>
          <w:p>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政府采购</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政府采购制度、采购文件、采购意向、中标或成交结果、采购合同等</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3.《国家税务总局办公厅关于做好政府采购意向公开工作的通知》（税总办发〔2020〕14号）</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2" w:hRule="atLeast"/>
        </w:trPr>
        <w:tc>
          <w:tcPr>
            <w:tcW w:w="527" w:type="dxa"/>
            <w:vAlign w:val="center"/>
          </w:tcPr>
          <w:p>
            <w:pPr>
              <w:widowControl/>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22</w:t>
            </w:r>
          </w:p>
        </w:tc>
        <w:tc>
          <w:tcPr>
            <w:tcW w:w="703" w:type="dxa"/>
            <w:vAlign w:val="center"/>
          </w:tcPr>
          <w:p>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财政信息</w:t>
            </w:r>
          </w:p>
        </w:tc>
        <w:tc>
          <w:tcPr>
            <w:tcW w:w="2462"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财政预算、决算信息及相关说明</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527" w:type="dxa"/>
            <w:vAlign w:val="center"/>
          </w:tcPr>
          <w:p>
            <w:pPr>
              <w:widowControl/>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23</w:t>
            </w:r>
          </w:p>
        </w:tc>
        <w:tc>
          <w:tcPr>
            <w:tcW w:w="703" w:type="dxa"/>
            <w:vAlign w:val="center"/>
          </w:tcPr>
          <w:p>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pPr>
              <w:jc w:val="left"/>
              <w:rPr>
                <w:rFonts w:ascii="仿宋" w:hAnsi="仿宋" w:eastAsia="仿宋" w:cs="宋体"/>
                <w:bCs/>
                <w:color w:val="000000"/>
                <w:sz w:val="18"/>
                <w:szCs w:val="18"/>
              </w:rPr>
            </w:pPr>
            <w:r>
              <w:rPr>
                <w:rFonts w:hint="eastAsia" w:ascii="仿宋" w:hAnsi="仿宋" w:eastAsia="仿宋"/>
                <w:bCs/>
                <w:color w:val="000000"/>
                <w:sz w:val="18"/>
                <w:szCs w:val="18"/>
              </w:rPr>
              <w:t>人事教育</w:t>
            </w:r>
          </w:p>
        </w:tc>
        <w:tc>
          <w:tcPr>
            <w:tcW w:w="2462" w:type="dxa"/>
            <w:vAlign w:val="center"/>
          </w:tcPr>
          <w:p>
            <w:pPr>
              <w:jc w:val="left"/>
              <w:rPr>
                <w:rFonts w:ascii="仿宋" w:hAnsi="仿宋" w:eastAsia="仿宋" w:cs="宋体"/>
                <w:sz w:val="18"/>
                <w:szCs w:val="18"/>
              </w:rPr>
            </w:pPr>
            <w:r>
              <w:rPr>
                <w:rFonts w:hint="eastAsia" w:ascii="仿宋" w:hAnsi="仿宋" w:eastAsia="仿宋"/>
                <w:sz w:val="18"/>
                <w:szCs w:val="18"/>
              </w:rPr>
              <w:t>人事任免信息；公务员招考的职位、名额、报考条件等事项以及录用结果</w:t>
            </w:r>
          </w:p>
        </w:tc>
        <w:tc>
          <w:tcPr>
            <w:tcW w:w="2126"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pPr>
              <w:jc w:val="center"/>
              <w:rPr>
                <w:rFonts w:ascii="仿宋" w:hAnsi="仿宋" w:eastAsia="仿宋" w:cs="宋体"/>
                <w:color w:val="000000"/>
                <w:sz w:val="18"/>
                <w:szCs w:val="18"/>
              </w:rPr>
            </w:pPr>
            <w:r>
              <w:rPr>
                <w:rFonts w:hint="eastAsia" w:ascii="仿宋" w:hAnsi="仿宋" w:eastAsia="仿宋"/>
                <w:color w:val="000000"/>
                <w:sz w:val="18"/>
                <w:szCs w:val="18"/>
              </w:rPr>
              <w:t>　</w:t>
            </w:r>
          </w:p>
        </w:tc>
      </w:tr>
    </w:tbl>
    <w:p>
      <w:pPr>
        <w:spacing w:line="240" w:lineRule="exact"/>
        <w:jc w:val="center"/>
        <w:rPr>
          <w:rFonts w:ascii="Times New Roman" w:hAnsi="Times New Roman" w:eastAsia="方正小标宋_GBK"/>
          <w:sz w:val="28"/>
          <w:szCs w:val="28"/>
        </w:rPr>
      </w:pPr>
    </w:p>
    <w:sectPr>
      <w:pgSz w:w="16840" w:h="11907" w:orient="landscape"/>
      <w:pgMar w:top="1418" w:right="1304" w:bottom="1418" w:left="1304"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2127F"/>
    <w:rsid w:val="0009602E"/>
    <w:rsid w:val="00130298"/>
    <w:rsid w:val="00447A43"/>
    <w:rsid w:val="00520AF2"/>
    <w:rsid w:val="005A64F2"/>
    <w:rsid w:val="005A7AE1"/>
    <w:rsid w:val="005E3146"/>
    <w:rsid w:val="007977D9"/>
    <w:rsid w:val="007E28D3"/>
    <w:rsid w:val="00864A48"/>
    <w:rsid w:val="008C00C5"/>
    <w:rsid w:val="008C242E"/>
    <w:rsid w:val="00993A2F"/>
    <w:rsid w:val="009B310D"/>
    <w:rsid w:val="00AD3470"/>
    <w:rsid w:val="00C04863"/>
    <w:rsid w:val="00C25DDE"/>
    <w:rsid w:val="00C6304A"/>
    <w:rsid w:val="00D33364"/>
    <w:rsid w:val="00F46077"/>
    <w:rsid w:val="3B9F6FC9"/>
    <w:rsid w:val="3EDD6E36"/>
    <w:rsid w:val="5A62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0"/>
    <w:pPr>
      <w:spacing w:before="240" w:after="60"/>
      <w:jc w:val="center"/>
      <w:outlineLvl w:val="0"/>
    </w:pPr>
    <w:rPr>
      <w:rFonts w:eastAsia="宋体" w:asciiTheme="majorHAnsi" w:hAnsiTheme="majorHAnsi" w:cstheme="majorBidi"/>
      <w:b/>
      <w:bCs/>
      <w:sz w:val="32"/>
      <w:szCs w:val="32"/>
    </w:rPr>
  </w:style>
  <w:style w:type="character" w:customStyle="1" w:styleId="8">
    <w:name w:val="标题 Char"/>
    <w:basedOn w:val="7"/>
    <w:link w:val="5"/>
    <w:qFormat/>
    <w:uiPriority w:val="0"/>
    <w:rPr>
      <w:rFonts w:asciiTheme="majorHAnsi" w:hAnsiTheme="majorHAnsi" w:cstheme="majorBidi"/>
      <w:b/>
      <w:bCs/>
      <w:kern w:val="2"/>
      <w:sz w:val="32"/>
      <w:szCs w:val="32"/>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江门市农业农村局</Company>
  <Pages>11</Pages>
  <Words>6314</Words>
  <Characters>6610</Characters>
  <Lines>69</Lines>
  <Paragraphs>19</Paragraphs>
  <TotalTime>4</TotalTime>
  <ScaleCrop>false</ScaleCrop>
  <LinksUpToDate>false</LinksUpToDate>
  <CharactersWithSpaces>9287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2020-12-01T09:29:00Z</dcterms:created>
  <dc:creator>Guo</dc:creator>
  <cp:lastModifiedBy>uos</cp:lastModifiedBy>
  <dcterms:modified xsi:type="dcterms:W3CDTF">2025-02-19T11:19:00Z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52D3E065CBB24D00B2CC068B7CEF7F04</vt:lpwstr>
  </property>
</Properties>
</file>